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E3FA4" w14:textId="77777777" w:rsidR="00C13675" w:rsidRDefault="00C13675" w:rsidP="00C13675">
      <w:pPr>
        <w:spacing w:line="259" w:lineRule="auto"/>
        <w:rPr>
          <w:color w:val="000000" w:themeColor="text1"/>
        </w:rPr>
      </w:pPr>
    </w:p>
    <w:tbl>
      <w:tblPr>
        <w:tblpPr w:leftFromText="180" w:rightFromText="180" w:vertAnchor="text" w:tblpY="1"/>
        <w:tblOverlap w:val="neve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3510"/>
        <w:gridCol w:w="1620"/>
        <w:gridCol w:w="2790"/>
        <w:gridCol w:w="1980"/>
        <w:gridCol w:w="3510"/>
      </w:tblGrid>
      <w:tr w:rsidR="009707C0" w:rsidRPr="00893CFC" w14:paraId="396B846A" w14:textId="77777777" w:rsidTr="26586EB5">
        <w:trPr>
          <w:trHeight w:val="557"/>
          <w:tblHeader/>
        </w:trPr>
        <w:tc>
          <w:tcPr>
            <w:tcW w:w="14485" w:type="dxa"/>
            <w:gridSpan w:val="6"/>
            <w:shd w:val="clear" w:color="auto" w:fill="B4C6E7" w:themeFill="accent1" w:themeFillTint="66"/>
          </w:tcPr>
          <w:p w14:paraId="3404DBA8" w14:textId="7956F9CC" w:rsidR="009707C0" w:rsidRPr="00893CFC" w:rsidRDefault="00EC4DED" w:rsidP="00684059">
            <w:pPr>
              <w:rPr>
                <w:rFonts w:ascii="Calibri" w:hAnsi="Calibri" w:cs="Calibri"/>
              </w:rPr>
            </w:pPr>
            <w:r w:rsidRPr="00893CFC">
              <w:rPr>
                <w:rFonts w:asciiTheme="minorHAnsi" w:hAnsiTheme="minorHAnsi" w:cstheme="minorBidi"/>
                <w:b/>
                <w:bCs/>
              </w:rPr>
              <w:t>III.</w:t>
            </w:r>
            <w:r w:rsidR="005B3347" w:rsidRPr="00893CFC">
              <w:t xml:space="preserve"> </w:t>
            </w:r>
            <w:r w:rsidR="005B3347" w:rsidRPr="00893CFC">
              <w:rPr>
                <w:rFonts w:asciiTheme="minorHAnsi" w:hAnsiTheme="minorHAnsi" w:cstheme="minorBidi"/>
                <w:b/>
                <w:bCs/>
              </w:rPr>
              <w:t>Availability of Services and Adequate Capacity</w:t>
            </w:r>
          </w:p>
        </w:tc>
      </w:tr>
      <w:tr w:rsidR="009707C0" w:rsidRPr="00893CFC" w14:paraId="34C70307" w14:textId="77777777" w:rsidTr="26586EB5">
        <w:trPr>
          <w:trHeight w:val="557"/>
          <w:tblHeader/>
        </w:trPr>
        <w:tc>
          <w:tcPr>
            <w:tcW w:w="1075" w:type="dxa"/>
            <w:shd w:val="clear" w:color="auto" w:fill="B4C6E7" w:themeFill="accent1" w:themeFillTint="66"/>
            <w:vAlign w:val="center"/>
          </w:tcPr>
          <w:p w14:paraId="240ED84C" w14:textId="120B607C" w:rsidR="009707C0" w:rsidRPr="00893CFC" w:rsidRDefault="009707C0" w:rsidP="00684059">
            <w:pPr>
              <w:jc w:val="center"/>
              <w:rPr>
                <w:rFonts w:ascii="Calibri" w:hAnsi="Calibri" w:cs="Calibri"/>
              </w:rPr>
            </w:pPr>
            <w:r w:rsidRPr="00893CFC">
              <w:rPr>
                <w:rFonts w:ascii="Calibri" w:eastAsia="Calibri" w:hAnsi="Calibri" w:cs="Calibri"/>
              </w:rPr>
              <w:t>#</w:t>
            </w:r>
          </w:p>
        </w:tc>
        <w:tc>
          <w:tcPr>
            <w:tcW w:w="3510" w:type="dxa"/>
            <w:shd w:val="clear" w:color="auto" w:fill="B4C6E7" w:themeFill="accent1" w:themeFillTint="66"/>
            <w:vAlign w:val="center"/>
          </w:tcPr>
          <w:p w14:paraId="688CACE8" w14:textId="16CAE6F2" w:rsidR="009707C0" w:rsidRPr="00893CFC" w:rsidRDefault="009707C0" w:rsidP="00684059">
            <w:pPr>
              <w:jc w:val="center"/>
              <w:rPr>
                <w:rFonts w:ascii="Calibri" w:eastAsia="Calibri" w:hAnsi="Calibri" w:cs="Calibri"/>
                <w:b/>
                <w:bCs/>
              </w:rPr>
            </w:pPr>
            <w:r w:rsidRPr="00893CFC">
              <w:rPr>
                <w:rFonts w:ascii="Calibri" w:eastAsia="Calibri" w:hAnsi="Calibri" w:cs="Calibri"/>
                <w:b/>
                <w:bCs/>
              </w:rPr>
              <w:t>Standard</w:t>
            </w:r>
          </w:p>
        </w:tc>
        <w:tc>
          <w:tcPr>
            <w:tcW w:w="1620" w:type="dxa"/>
            <w:shd w:val="clear" w:color="auto" w:fill="B4C6E7" w:themeFill="accent1" w:themeFillTint="66"/>
            <w:vAlign w:val="center"/>
          </w:tcPr>
          <w:p w14:paraId="77D21D30" w14:textId="4C835CC3" w:rsidR="009707C0" w:rsidRPr="00893CFC" w:rsidRDefault="009707C0" w:rsidP="00684059">
            <w:pPr>
              <w:jc w:val="center"/>
              <w:rPr>
                <w:rFonts w:ascii="Calibri" w:eastAsiaTheme="minorEastAsia" w:hAnsi="Calibri" w:cs="Calibri"/>
              </w:rPr>
            </w:pPr>
            <w:r w:rsidRPr="00893CFC">
              <w:rPr>
                <w:rFonts w:ascii="Calibri" w:eastAsia="Calibri" w:hAnsi="Calibri" w:cs="Calibri"/>
                <w:b/>
                <w:bCs/>
              </w:rPr>
              <w:t>Basis/Source</w:t>
            </w:r>
          </w:p>
        </w:tc>
        <w:tc>
          <w:tcPr>
            <w:tcW w:w="2790" w:type="dxa"/>
            <w:shd w:val="clear" w:color="auto" w:fill="B4C6E7" w:themeFill="accent1" w:themeFillTint="66"/>
            <w:vAlign w:val="center"/>
          </w:tcPr>
          <w:p w14:paraId="52B6C3A1" w14:textId="668A8D37" w:rsidR="009707C0" w:rsidRPr="00893CFC" w:rsidRDefault="009707C0" w:rsidP="00684059">
            <w:pPr>
              <w:jc w:val="center"/>
              <w:rPr>
                <w:rFonts w:ascii="Calibri" w:eastAsia="Calibri" w:hAnsi="Calibri" w:cs="Calibri"/>
              </w:rPr>
            </w:pPr>
            <w:r w:rsidRPr="00893CFC">
              <w:rPr>
                <w:rFonts w:ascii="Calibri" w:eastAsia="Calibri" w:hAnsi="Calibri" w:cs="Calibri"/>
                <w:b/>
                <w:bCs/>
              </w:rPr>
              <w:t>Evidence of Compliance could include:</w:t>
            </w:r>
          </w:p>
        </w:tc>
        <w:tc>
          <w:tcPr>
            <w:tcW w:w="1980" w:type="dxa"/>
            <w:shd w:val="clear" w:color="auto" w:fill="B4C6E7" w:themeFill="accent1" w:themeFillTint="66"/>
            <w:vAlign w:val="center"/>
          </w:tcPr>
          <w:p w14:paraId="487BE7CE" w14:textId="6C5851CB" w:rsidR="009707C0" w:rsidRPr="00893CFC" w:rsidRDefault="009707C0" w:rsidP="00684059">
            <w:pPr>
              <w:jc w:val="center"/>
              <w:rPr>
                <w:rFonts w:ascii="Calibri" w:hAnsi="Calibri" w:cs="Calibri"/>
              </w:rPr>
            </w:pPr>
            <w:r w:rsidRPr="00893CFC">
              <w:rPr>
                <w:rFonts w:ascii="Calibri" w:eastAsia="Calibri" w:hAnsi="Calibri" w:cs="Calibri"/>
                <w:b/>
                <w:bCs/>
              </w:rPr>
              <w:t>Review Guidelines for Reviewer</w:t>
            </w:r>
          </w:p>
        </w:tc>
        <w:tc>
          <w:tcPr>
            <w:tcW w:w="3510" w:type="dxa"/>
            <w:shd w:val="clear" w:color="auto" w:fill="B4C6E7" w:themeFill="accent1" w:themeFillTint="66"/>
          </w:tcPr>
          <w:p w14:paraId="5478AE64" w14:textId="010A8C23" w:rsidR="009707C0" w:rsidRPr="00893CFC" w:rsidRDefault="009707C0" w:rsidP="00684059">
            <w:pPr>
              <w:jc w:val="center"/>
              <w:rPr>
                <w:rFonts w:ascii="Calibri" w:hAnsi="Calibri" w:cs="Calibri"/>
              </w:rPr>
            </w:pPr>
            <w:r w:rsidRPr="00893CFC">
              <w:rPr>
                <w:rFonts w:ascii="Calibri" w:eastAsia="Calibri" w:hAnsi="Calibri" w:cs="Calibri"/>
                <w:b/>
                <w:bCs/>
                <w:color w:val="FF0000"/>
              </w:rPr>
              <w:t xml:space="preserve">Member CMSHP to Complete: </w:t>
            </w:r>
            <w:r w:rsidRPr="00893CFC">
              <w:rPr>
                <w:rFonts w:ascii="Calibri" w:eastAsia="Calibri" w:hAnsi="Calibri" w:cs="Calibri"/>
                <w:b/>
                <w:bCs/>
              </w:rPr>
              <w:t>List evidence provided and location of evidence for specific standard i.e., page number/section (if applicable).</w:t>
            </w:r>
          </w:p>
        </w:tc>
      </w:tr>
      <w:tr w:rsidR="000148E3" w:rsidRPr="00893CFC" w14:paraId="5818405E" w14:textId="77777777" w:rsidTr="26586EB5">
        <w:trPr>
          <w:trHeight w:val="278"/>
        </w:trPr>
        <w:tc>
          <w:tcPr>
            <w:tcW w:w="14485" w:type="dxa"/>
            <w:gridSpan w:val="6"/>
          </w:tcPr>
          <w:p w14:paraId="4ADB3F4D" w14:textId="0CFC1E46" w:rsidR="000148E3" w:rsidRPr="00893CFC" w:rsidRDefault="0097196D" w:rsidP="00684059">
            <w:pPr>
              <w:rPr>
                <w:rFonts w:ascii="Calibri" w:hAnsi="Calibri" w:cs="Calibri"/>
              </w:rPr>
            </w:pPr>
            <w:r w:rsidRPr="00893CFC">
              <w:rPr>
                <w:rFonts w:ascii="Calibri" w:eastAsia="Calibri" w:hAnsi="Calibri" w:cs="Calibri"/>
                <w:b/>
                <w:bCs/>
              </w:rPr>
              <w:t>Delivery Network</w:t>
            </w:r>
          </w:p>
        </w:tc>
      </w:tr>
      <w:tr w:rsidR="009707C0" w:rsidRPr="00893CFC" w14:paraId="1C5E0AEA" w14:textId="77777777" w:rsidTr="26586EB5">
        <w:trPr>
          <w:trHeight w:val="1223"/>
        </w:trPr>
        <w:tc>
          <w:tcPr>
            <w:tcW w:w="1075" w:type="dxa"/>
          </w:tcPr>
          <w:p w14:paraId="7C3D35B8" w14:textId="3EC08DAD" w:rsidR="009707C0" w:rsidRPr="00893CFC" w:rsidRDefault="00AD798B" w:rsidP="00684059">
            <w:pPr>
              <w:rPr>
                <w:rFonts w:ascii="Calibri" w:hAnsi="Calibri" w:cs="Calibri"/>
              </w:rPr>
            </w:pPr>
            <w:r w:rsidRPr="00893CFC">
              <w:rPr>
                <w:rFonts w:ascii="Calibri" w:hAnsi="Calibri" w:cs="Calibri"/>
              </w:rPr>
              <w:t>3.1</w:t>
            </w:r>
          </w:p>
        </w:tc>
        <w:tc>
          <w:tcPr>
            <w:tcW w:w="3510" w:type="dxa"/>
          </w:tcPr>
          <w:p w14:paraId="56718275" w14:textId="77777777" w:rsidR="00C935E9" w:rsidRPr="00893CFC" w:rsidRDefault="00C935E9" w:rsidP="00C935E9">
            <w:pPr>
              <w:rPr>
                <w:rFonts w:ascii="Calibri" w:eastAsia="Calibri" w:hAnsi="Calibri" w:cs="Calibri"/>
              </w:rPr>
            </w:pPr>
            <w:r w:rsidRPr="00893CFC">
              <w:rPr>
                <w:rFonts w:ascii="Calibri" w:eastAsia="Calibri" w:hAnsi="Calibri" w:cs="Calibri"/>
              </w:rPr>
              <w:t>The CMHSP maintains and monitors a network of appropriate providers that is supported by written agreements and is sufficient to provide adequate access to all services covered under the contract for all enrollees, including those with limited English proficiency or physical or mental disabilities.</w:t>
            </w:r>
          </w:p>
          <w:p w14:paraId="70E469DB" w14:textId="77777777" w:rsidR="00C935E9" w:rsidRPr="00893CFC" w:rsidRDefault="00C935E9" w:rsidP="00C935E9">
            <w:pPr>
              <w:rPr>
                <w:rFonts w:ascii="Calibri" w:eastAsia="Calibri" w:hAnsi="Calibri" w:cs="Calibri"/>
              </w:rPr>
            </w:pPr>
          </w:p>
          <w:p w14:paraId="4221AC52" w14:textId="5BA69586" w:rsidR="009707C0" w:rsidRPr="00893CFC" w:rsidRDefault="00C935E9" w:rsidP="00C935E9">
            <w:pPr>
              <w:rPr>
                <w:rFonts w:ascii="Calibri" w:hAnsi="Calibri" w:cs="Calibri"/>
              </w:rPr>
            </w:pPr>
            <w:r w:rsidRPr="00893CFC">
              <w:rPr>
                <w:rFonts w:ascii="Calibri" w:eastAsia="Calibri" w:hAnsi="Calibri" w:cs="Calibri"/>
              </w:rPr>
              <w:t>CMHSP must establish mechanisms to ensure compliance by CMHSP and network providers and monitor network providers regularly to determine compliance.</w:t>
            </w:r>
          </w:p>
        </w:tc>
        <w:tc>
          <w:tcPr>
            <w:tcW w:w="1620" w:type="dxa"/>
          </w:tcPr>
          <w:p w14:paraId="2ABD7D07" w14:textId="77777777" w:rsidR="004161BC" w:rsidRPr="00893CFC" w:rsidRDefault="004161BC" w:rsidP="004161BC">
            <w:pPr>
              <w:rPr>
                <w:rFonts w:ascii="Calibri" w:hAnsi="Calibri" w:cs="Calibri"/>
              </w:rPr>
            </w:pPr>
            <w:r w:rsidRPr="00893CFC">
              <w:rPr>
                <w:rFonts w:ascii="Calibri" w:hAnsi="Calibri" w:cs="Calibri"/>
              </w:rPr>
              <w:t>42 CFR 438.206</w:t>
            </w:r>
          </w:p>
          <w:p w14:paraId="40DA4513" w14:textId="77777777" w:rsidR="004161BC" w:rsidRPr="00893CFC" w:rsidRDefault="004161BC" w:rsidP="004161BC">
            <w:pPr>
              <w:rPr>
                <w:rFonts w:ascii="Calibri" w:hAnsi="Calibri" w:cs="Calibri"/>
              </w:rPr>
            </w:pPr>
          </w:p>
          <w:p w14:paraId="20DCA40D" w14:textId="427243FE" w:rsidR="004161BC" w:rsidRPr="00893CFC" w:rsidRDefault="004161BC" w:rsidP="004161BC">
            <w:pPr>
              <w:rPr>
                <w:rFonts w:ascii="Calibri" w:hAnsi="Calibri" w:cs="Calibri"/>
              </w:rPr>
            </w:pPr>
            <w:r w:rsidRPr="00893CFC">
              <w:rPr>
                <w:rFonts w:ascii="Calibri" w:hAnsi="Calibri" w:cs="Calibri"/>
              </w:rPr>
              <w:t>CMHSP Contract – Delegation Grid</w:t>
            </w:r>
          </w:p>
        </w:tc>
        <w:tc>
          <w:tcPr>
            <w:tcW w:w="2790" w:type="dxa"/>
          </w:tcPr>
          <w:p w14:paraId="0E977328" w14:textId="77777777" w:rsidR="009E175F" w:rsidRPr="00893CFC" w:rsidRDefault="009E175F" w:rsidP="009E175F">
            <w:pPr>
              <w:rPr>
                <w:rFonts w:ascii="Calibri" w:hAnsi="Calibri" w:cs="Calibri"/>
              </w:rPr>
            </w:pPr>
            <w:r w:rsidRPr="00893CFC">
              <w:rPr>
                <w:rFonts w:ascii="Calibri" w:hAnsi="Calibri" w:cs="Calibri"/>
              </w:rPr>
              <w:t>Policy/procedure</w:t>
            </w:r>
          </w:p>
          <w:p w14:paraId="61B092A4" w14:textId="391FA8B1" w:rsidR="009E175F" w:rsidRPr="00893CFC" w:rsidRDefault="009E175F" w:rsidP="009E175F">
            <w:pPr>
              <w:rPr>
                <w:rFonts w:ascii="Calibri" w:hAnsi="Calibri" w:cs="Calibri"/>
              </w:rPr>
            </w:pPr>
            <w:r w:rsidRPr="00893CFC">
              <w:rPr>
                <w:rFonts w:ascii="Calibri" w:hAnsi="Calibri" w:cs="Calibri"/>
              </w:rPr>
              <w:t xml:space="preserve"> </w:t>
            </w:r>
          </w:p>
          <w:p w14:paraId="2375DE0D" w14:textId="77777777" w:rsidR="009707C0" w:rsidRPr="00893CFC" w:rsidRDefault="009E175F" w:rsidP="009E175F">
            <w:pPr>
              <w:rPr>
                <w:rFonts w:ascii="Calibri" w:hAnsi="Calibri" w:cs="Calibri"/>
              </w:rPr>
            </w:pPr>
            <w:r w:rsidRPr="00893CFC">
              <w:rPr>
                <w:rFonts w:ascii="Calibri" w:hAnsi="Calibri" w:cs="Calibri"/>
              </w:rPr>
              <w:t>Process Procedure for submitting updates to the provider directory.</w:t>
            </w:r>
          </w:p>
          <w:p w14:paraId="1AE3990C" w14:textId="77777777" w:rsidR="00D70CD2" w:rsidRPr="00893CFC" w:rsidRDefault="00D70CD2" w:rsidP="009E175F">
            <w:pPr>
              <w:rPr>
                <w:rFonts w:ascii="Calibri" w:hAnsi="Calibri" w:cs="Calibri"/>
              </w:rPr>
            </w:pPr>
          </w:p>
          <w:p w14:paraId="1C189052" w14:textId="77777777" w:rsidR="00D70CD2" w:rsidRPr="00893CFC" w:rsidRDefault="00D70CD2" w:rsidP="009E175F">
            <w:pPr>
              <w:rPr>
                <w:rFonts w:ascii="Calibri" w:hAnsi="Calibri" w:cs="Calibri"/>
              </w:rPr>
            </w:pPr>
            <w:r w:rsidRPr="00893CFC">
              <w:rPr>
                <w:rFonts w:ascii="Calibri" w:hAnsi="Calibri" w:cs="Calibri"/>
              </w:rPr>
              <w:t>Contract Samples: (1 Signed Mental Health Services Provider, 1 Signed SUD Provider)</w:t>
            </w:r>
          </w:p>
          <w:p w14:paraId="4CF29D1D" w14:textId="77777777" w:rsidR="009751E3" w:rsidRPr="00893CFC" w:rsidRDefault="009751E3" w:rsidP="009E175F">
            <w:pPr>
              <w:rPr>
                <w:rFonts w:ascii="Calibri" w:hAnsi="Calibri" w:cs="Calibri"/>
              </w:rPr>
            </w:pPr>
          </w:p>
          <w:p w14:paraId="4B8E4D88" w14:textId="012839D5" w:rsidR="009751E3" w:rsidRPr="00893CFC" w:rsidRDefault="009751E3" w:rsidP="009E175F">
            <w:pPr>
              <w:rPr>
                <w:rFonts w:ascii="Calibri" w:hAnsi="Calibri" w:cs="Calibri"/>
              </w:rPr>
            </w:pPr>
            <w:r w:rsidRPr="00893CFC">
              <w:rPr>
                <w:rFonts w:ascii="Calibri" w:hAnsi="Calibri" w:cs="Calibri"/>
              </w:rPr>
              <w:t>(Note: CMHSP Provider Directory Submissions will be reviewed for timeliness and accuracy as part of this standard)</w:t>
            </w:r>
          </w:p>
        </w:tc>
        <w:tc>
          <w:tcPr>
            <w:tcW w:w="1980" w:type="dxa"/>
          </w:tcPr>
          <w:p w14:paraId="2D4126D6" w14:textId="78E24654" w:rsidR="009707C0" w:rsidRPr="00893CFC" w:rsidRDefault="009707C0" w:rsidP="00684059">
            <w:pPr>
              <w:rPr>
                <w:rFonts w:ascii="Calibri" w:hAnsi="Calibri" w:cs="Calibri"/>
              </w:rPr>
            </w:pPr>
          </w:p>
        </w:tc>
        <w:tc>
          <w:tcPr>
            <w:tcW w:w="3510" w:type="dxa"/>
          </w:tcPr>
          <w:p w14:paraId="377B9DB5" w14:textId="15E6898A" w:rsidR="009707C0" w:rsidRPr="00893CFC" w:rsidRDefault="009707C0" w:rsidP="00684059">
            <w:pPr>
              <w:rPr>
                <w:rFonts w:ascii="Calibri" w:hAnsi="Calibri" w:cs="Calibri"/>
              </w:rPr>
            </w:pPr>
          </w:p>
        </w:tc>
      </w:tr>
      <w:tr w:rsidR="009707C0" w:rsidRPr="00893CFC" w14:paraId="603F4656" w14:textId="77777777" w:rsidTr="26586EB5">
        <w:tc>
          <w:tcPr>
            <w:tcW w:w="1075" w:type="dxa"/>
          </w:tcPr>
          <w:p w14:paraId="5ED56489" w14:textId="72146CE5" w:rsidR="009707C0" w:rsidRPr="00893CFC" w:rsidRDefault="00D70CD2" w:rsidP="00684059">
            <w:pPr>
              <w:rPr>
                <w:rFonts w:ascii="Calibri" w:hAnsi="Calibri" w:cs="Calibri"/>
                <w:bCs/>
              </w:rPr>
            </w:pPr>
            <w:r w:rsidRPr="00893CFC">
              <w:rPr>
                <w:rFonts w:ascii="Calibri" w:hAnsi="Calibri" w:cs="Calibri"/>
                <w:bCs/>
              </w:rPr>
              <w:t>3</w:t>
            </w:r>
            <w:r w:rsidR="009707C0" w:rsidRPr="00893CFC">
              <w:rPr>
                <w:rFonts w:ascii="Calibri" w:hAnsi="Calibri" w:cs="Calibri"/>
                <w:bCs/>
              </w:rPr>
              <w:t>.2</w:t>
            </w:r>
          </w:p>
        </w:tc>
        <w:tc>
          <w:tcPr>
            <w:tcW w:w="3510" w:type="dxa"/>
          </w:tcPr>
          <w:p w14:paraId="0FC03009" w14:textId="77777777" w:rsidR="009773AB" w:rsidRPr="00893CFC" w:rsidRDefault="009773AB" w:rsidP="009773AB">
            <w:pPr>
              <w:rPr>
                <w:rFonts w:ascii="Calibri" w:eastAsia="Calibri" w:hAnsi="Calibri" w:cs="Calibri"/>
              </w:rPr>
            </w:pPr>
            <w:r w:rsidRPr="00893CFC">
              <w:rPr>
                <w:rFonts w:ascii="Calibri" w:eastAsia="Calibri" w:hAnsi="Calibri" w:cs="Calibri"/>
              </w:rPr>
              <w:t>The CMHSP provides for a second opinion from a network provider or arranges for enrollee to obtain one outside the network, at no cost to the enrollee.</w:t>
            </w:r>
          </w:p>
          <w:p w14:paraId="5AFF8224" w14:textId="77777777" w:rsidR="009773AB" w:rsidRPr="00893CFC" w:rsidRDefault="009773AB" w:rsidP="009773AB">
            <w:pPr>
              <w:rPr>
                <w:rFonts w:ascii="Calibri" w:eastAsia="Calibri" w:hAnsi="Calibri" w:cs="Calibri"/>
              </w:rPr>
            </w:pPr>
          </w:p>
          <w:p w14:paraId="3B7EB815" w14:textId="17308AC1" w:rsidR="009707C0" w:rsidRPr="00893CFC" w:rsidRDefault="009773AB" w:rsidP="009773AB">
            <w:pPr>
              <w:rPr>
                <w:rFonts w:ascii="Calibri" w:hAnsi="Calibri" w:cs="Calibri"/>
                <w:b/>
                <w:bCs/>
              </w:rPr>
            </w:pPr>
            <w:r w:rsidRPr="00893CFC">
              <w:rPr>
                <w:rFonts w:ascii="Calibri" w:eastAsia="Calibri" w:hAnsi="Calibri" w:cs="Calibri"/>
              </w:rPr>
              <w:lastRenderedPageBreak/>
              <w:t>*Note: Second opinion rights under Michigan Mental Health Code 330.1705, 330.1409, 330.1498e, or 330.1498h are a separate requirement than the federal requirement noted under this element.</w:t>
            </w:r>
          </w:p>
        </w:tc>
        <w:tc>
          <w:tcPr>
            <w:tcW w:w="1620" w:type="dxa"/>
          </w:tcPr>
          <w:p w14:paraId="0768CF14" w14:textId="35949804" w:rsidR="009707C0" w:rsidRPr="00893CFC" w:rsidRDefault="0074508F" w:rsidP="00684059">
            <w:pPr>
              <w:rPr>
                <w:rFonts w:ascii="Calibri" w:hAnsi="Calibri" w:cs="Calibri"/>
              </w:rPr>
            </w:pPr>
            <w:r w:rsidRPr="00893CFC">
              <w:rPr>
                <w:rFonts w:ascii="Calibri" w:hAnsi="Calibri" w:cs="Calibri"/>
              </w:rPr>
              <w:lastRenderedPageBreak/>
              <w:t>42 CFR 438.206</w:t>
            </w:r>
          </w:p>
        </w:tc>
        <w:tc>
          <w:tcPr>
            <w:tcW w:w="2790" w:type="dxa"/>
          </w:tcPr>
          <w:p w14:paraId="28CA4F61" w14:textId="77777777" w:rsidR="009707C0" w:rsidRPr="00893CFC" w:rsidRDefault="00444C2E" w:rsidP="00684059">
            <w:pPr>
              <w:rPr>
                <w:rFonts w:ascii="Calibri" w:hAnsi="Calibri" w:cs="Calibri"/>
              </w:rPr>
            </w:pPr>
            <w:r w:rsidRPr="00893CFC">
              <w:rPr>
                <w:rFonts w:ascii="Calibri" w:hAnsi="Calibri" w:cs="Calibri"/>
              </w:rPr>
              <w:t>Policy/procedure</w:t>
            </w:r>
          </w:p>
          <w:p w14:paraId="57BD7C00" w14:textId="77777777" w:rsidR="00444C2E" w:rsidRPr="00893CFC" w:rsidRDefault="00444C2E" w:rsidP="00684059">
            <w:pPr>
              <w:rPr>
                <w:rFonts w:ascii="Calibri" w:hAnsi="Calibri" w:cs="Calibri"/>
              </w:rPr>
            </w:pPr>
          </w:p>
          <w:p w14:paraId="10221CA6" w14:textId="77777777" w:rsidR="00444C2E" w:rsidRPr="00893CFC" w:rsidRDefault="00114462" w:rsidP="00684059">
            <w:pPr>
              <w:rPr>
                <w:rFonts w:ascii="Calibri" w:hAnsi="Calibri" w:cs="Calibri"/>
              </w:rPr>
            </w:pPr>
            <w:r w:rsidRPr="00893CFC">
              <w:rPr>
                <w:rFonts w:ascii="Calibri" w:hAnsi="Calibri" w:cs="Calibri"/>
              </w:rPr>
              <w:t>Second opinion tracking/analysis</w:t>
            </w:r>
          </w:p>
          <w:p w14:paraId="4A6A5E11" w14:textId="77777777" w:rsidR="00E435FA" w:rsidRPr="00893CFC" w:rsidRDefault="00E435FA" w:rsidP="00684059">
            <w:pPr>
              <w:rPr>
                <w:rFonts w:ascii="Calibri" w:hAnsi="Calibri" w:cs="Calibri"/>
              </w:rPr>
            </w:pPr>
          </w:p>
          <w:p w14:paraId="5ADCF6C0" w14:textId="16D87384" w:rsidR="00E435FA" w:rsidRPr="00893CFC" w:rsidRDefault="00E435FA" w:rsidP="00684059">
            <w:pPr>
              <w:rPr>
                <w:rFonts w:ascii="Calibri" w:hAnsi="Calibri" w:cs="Calibri"/>
              </w:rPr>
            </w:pPr>
            <w:r w:rsidRPr="00893CFC">
              <w:rPr>
                <w:rFonts w:ascii="Calibri" w:hAnsi="Calibri" w:cs="Calibri"/>
              </w:rPr>
              <w:lastRenderedPageBreak/>
              <w:t>Coverage/ authorization guidelines</w:t>
            </w:r>
          </w:p>
        </w:tc>
        <w:tc>
          <w:tcPr>
            <w:tcW w:w="1980" w:type="dxa"/>
          </w:tcPr>
          <w:p w14:paraId="69F2FE56" w14:textId="08D4492D" w:rsidR="009707C0" w:rsidRPr="00893CFC" w:rsidRDefault="009707C0" w:rsidP="00684059">
            <w:pPr>
              <w:rPr>
                <w:rFonts w:ascii="Calibri" w:hAnsi="Calibri" w:cs="Calibri"/>
              </w:rPr>
            </w:pPr>
          </w:p>
        </w:tc>
        <w:tc>
          <w:tcPr>
            <w:tcW w:w="3510" w:type="dxa"/>
          </w:tcPr>
          <w:p w14:paraId="2A141A3C" w14:textId="0DEB45EF" w:rsidR="009707C0" w:rsidRPr="00893CFC" w:rsidRDefault="009707C0" w:rsidP="00684059">
            <w:pPr>
              <w:rPr>
                <w:rFonts w:ascii="Calibri" w:hAnsi="Calibri" w:cs="Calibri"/>
              </w:rPr>
            </w:pPr>
          </w:p>
        </w:tc>
      </w:tr>
      <w:tr w:rsidR="009707C0" w:rsidRPr="00893CFC" w14:paraId="5349A387" w14:textId="77777777" w:rsidTr="26586EB5">
        <w:tc>
          <w:tcPr>
            <w:tcW w:w="1075" w:type="dxa"/>
          </w:tcPr>
          <w:p w14:paraId="767A4993" w14:textId="153F0B19" w:rsidR="009707C0" w:rsidRPr="00893CFC" w:rsidRDefault="00B0370B" w:rsidP="00684059">
            <w:pPr>
              <w:rPr>
                <w:rFonts w:ascii="Calibri" w:hAnsi="Calibri" w:cs="Calibri"/>
                <w:bCs/>
              </w:rPr>
            </w:pPr>
            <w:r w:rsidRPr="00893CFC">
              <w:rPr>
                <w:rFonts w:ascii="Calibri" w:hAnsi="Calibri" w:cs="Calibri"/>
                <w:bCs/>
              </w:rPr>
              <w:t>3</w:t>
            </w:r>
            <w:r w:rsidR="009707C0" w:rsidRPr="00893CFC">
              <w:rPr>
                <w:rFonts w:ascii="Calibri" w:hAnsi="Calibri" w:cs="Calibri"/>
                <w:bCs/>
              </w:rPr>
              <w:t>.3</w:t>
            </w:r>
          </w:p>
        </w:tc>
        <w:tc>
          <w:tcPr>
            <w:tcW w:w="3510" w:type="dxa"/>
          </w:tcPr>
          <w:p w14:paraId="4C6581AA" w14:textId="465A4898" w:rsidR="009707C0" w:rsidRPr="00893CFC" w:rsidRDefault="00B77A00" w:rsidP="00684059">
            <w:pPr>
              <w:rPr>
                <w:rFonts w:ascii="Calibri" w:eastAsia="Calibri" w:hAnsi="Calibri" w:cs="Calibri"/>
              </w:rPr>
            </w:pPr>
            <w:r w:rsidRPr="00893CFC">
              <w:rPr>
                <w:rFonts w:ascii="Calibri" w:eastAsia="Calibri" w:hAnsi="Calibri" w:cs="Calibri"/>
              </w:rPr>
              <w:t>If the provider network is unable to provide necessary services covered under the contract for an enrollee, the CMHSP must adequately and timely cover these services out of network for the enrollee, for as long as the provider network is unable to provide them.</w:t>
            </w:r>
          </w:p>
        </w:tc>
        <w:tc>
          <w:tcPr>
            <w:tcW w:w="1620" w:type="dxa"/>
          </w:tcPr>
          <w:p w14:paraId="6D2C3AEF" w14:textId="57CE8DCA" w:rsidR="009707C0" w:rsidRPr="00893CFC" w:rsidRDefault="00311321" w:rsidP="00684059">
            <w:pPr>
              <w:rPr>
                <w:rFonts w:ascii="Calibri" w:hAnsi="Calibri" w:cs="Calibri"/>
              </w:rPr>
            </w:pPr>
            <w:r w:rsidRPr="00893CFC">
              <w:rPr>
                <w:rFonts w:ascii="Calibri" w:hAnsi="Calibri" w:cs="Calibri"/>
              </w:rPr>
              <w:t>42 CFR 438.206</w:t>
            </w:r>
          </w:p>
        </w:tc>
        <w:tc>
          <w:tcPr>
            <w:tcW w:w="2790" w:type="dxa"/>
          </w:tcPr>
          <w:p w14:paraId="3C269502" w14:textId="77777777" w:rsidR="009707C0" w:rsidRPr="00893CFC" w:rsidRDefault="00C4327B" w:rsidP="00684059">
            <w:pPr>
              <w:rPr>
                <w:rFonts w:ascii="Calibri" w:hAnsi="Calibri" w:cs="Calibri"/>
              </w:rPr>
            </w:pPr>
            <w:r w:rsidRPr="00893CFC">
              <w:rPr>
                <w:rFonts w:ascii="Calibri" w:hAnsi="Calibri" w:cs="Calibri"/>
              </w:rPr>
              <w:t>Policy/procedure</w:t>
            </w:r>
          </w:p>
          <w:p w14:paraId="431E7FC1" w14:textId="77777777" w:rsidR="00F150B8" w:rsidRPr="00893CFC" w:rsidRDefault="00F150B8" w:rsidP="00684059">
            <w:pPr>
              <w:rPr>
                <w:rFonts w:ascii="Calibri" w:hAnsi="Calibri" w:cs="Calibri"/>
              </w:rPr>
            </w:pPr>
          </w:p>
          <w:p w14:paraId="1A7A1539" w14:textId="77777777" w:rsidR="00F150B8" w:rsidRPr="00893CFC" w:rsidRDefault="00F150B8" w:rsidP="00684059">
            <w:pPr>
              <w:rPr>
                <w:rFonts w:ascii="Calibri" w:hAnsi="Calibri" w:cs="Calibri"/>
              </w:rPr>
            </w:pPr>
            <w:r w:rsidRPr="00893CFC">
              <w:rPr>
                <w:rFonts w:ascii="Calibri" w:hAnsi="Calibri" w:cs="Calibri"/>
              </w:rPr>
              <w:t>2 Examples of a SCA</w:t>
            </w:r>
          </w:p>
          <w:p w14:paraId="2E8BE90F" w14:textId="77777777" w:rsidR="002B3525" w:rsidRPr="00893CFC" w:rsidRDefault="002B3525" w:rsidP="00684059">
            <w:pPr>
              <w:rPr>
                <w:rFonts w:ascii="Calibri" w:hAnsi="Calibri" w:cs="Calibri"/>
              </w:rPr>
            </w:pPr>
          </w:p>
          <w:p w14:paraId="54DDDD68" w14:textId="1620A2A6" w:rsidR="002B3525" w:rsidRPr="00893CFC" w:rsidRDefault="002B3525" w:rsidP="00684059">
            <w:pPr>
              <w:rPr>
                <w:rFonts w:ascii="Calibri" w:hAnsi="Calibri" w:cs="Calibri"/>
              </w:rPr>
            </w:pPr>
            <w:r w:rsidRPr="00893CFC">
              <w:rPr>
                <w:rFonts w:ascii="Calibri" w:hAnsi="Calibri" w:cs="Calibri"/>
              </w:rPr>
              <w:t>Monitoring Mechanisms</w:t>
            </w:r>
          </w:p>
        </w:tc>
        <w:tc>
          <w:tcPr>
            <w:tcW w:w="1980" w:type="dxa"/>
          </w:tcPr>
          <w:p w14:paraId="5E83BEEA" w14:textId="20C870AA" w:rsidR="009707C0" w:rsidRPr="00893CFC" w:rsidRDefault="009707C0" w:rsidP="00684059">
            <w:pPr>
              <w:rPr>
                <w:rFonts w:ascii="Calibri" w:hAnsi="Calibri" w:cs="Calibri"/>
              </w:rPr>
            </w:pPr>
          </w:p>
        </w:tc>
        <w:tc>
          <w:tcPr>
            <w:tcW w:w="3510" w:type="dxa"/>
          </w:tcPr>
          <w:p w14:paraId="7F3FF291" w14:textId="71FB44B1" w:rsidR="00615849" w:rsidRPr="00893CFC" w:rsidRDefault="00615849" w:rsidP="00615849">
            <w:pPr>
              <w:rPr>
                <w:rFonts w:ascii="Calibri" w:hAnsi="Calibri" w:cs="Calibri"/>
              </w:rPr>
            </w:pPr>
          </w:p>
        </w:tc>
      </w:tr>
      <w:tr w:rsidR="009707C0" w:rsidRPr="00893CFC" w14:paraId="16599A46" w14:textId="77777777" w:rsidTr="26586EB5">
        <w:tc>
          <w:tcPr>
            <w:tcW w:w="1075" w:type="dxa"/>
          </w:tcPr>
          <w:p w14:paraId="4B135FD0" w14:textId="6D8F177D" w:rsidR="009707C0" w:rsidRPr="00893CFC" w:rsidRDefault="002B3525" w:rsidP="00684059">
            <w:pPr>
              <w:rPr>
                <w:rFonts w:ascii="Calibri" w:hAnsi="Calibri" w:cs="Calibri"/>
                <w:bCs/>
              </w:rPr>
            </w:pPr>
            <w:r w:rsidRPr="00893CFC">
              <w:rPr>
                <w:rFonts w:ascii="Calibri" w:hAnsi="Calibri" w:cs="Calibri"/>
                <w:bCs/>
              </w:rPr>
              <w:t>3</w:t>
            </w:r>
            <w:r w:rsidR="009707C0" w:rsidRPr="00893CFC">
              <w:rPr>
                <w:rFonts w:ascii="Calibri" w:hAnsi="Calibri" w:cs="Calibri"/>
                <w:bCs/>
              </w:rPr>
              <w:t>.4</w:t>
            </w:r>
          </w:p>
        </w:tc>
        <w:tc>
          <w:tcPr>
            <w:tcW w:w="3510" w:type="dxa"/>
          </w:tcPr>
          <w:p w14:paraId="414F8C5F" w14:textId="66A8ABDC" w:rsidR="009707C0" w:rsidRPr="00893CFC" w:rsidRDefault="00FF730E" w:rsidP="00684059">
            <w:pPr>
              <w:rPr>
                <w:rFonts w:ascii="Calibri" w:eastAsia="Calibri" w:hAnsi="Calibri" w:cs="Calibri"/>
              </w:rPr>
            </w:pPr>
            <w:r w:rsidRPr="00893CFC">
              <w:rPr>
                <w:rFonts w:ascii="Calibri" w:eastAsia="Calibri" w:hAnsi="Calibri" w:cs="Calibri"/>
              </w:rPr>
              <w:t>Requires out of network providers to coordinate with the CMHSP for payment and ensures the cost to the enrollee is no greater than it would be if the services were furnished within network.</w:t>
            </w:r>
            <w:r w:rsidR="009707C0" w:rsidRPr="00893CFC">
              <w:rPr>
                <w:rFonts w:ascii="Calibri" w:eastAsia="Calibri" w:hAnsi="Calibri" w:cs="Calibri"/>
              </w:rPr>
              <w:t xml:space="preserve">                                                            </w:t>
            </w:r>
          </w:p>
        </w:tc>
        <w:tc>
          <w:tcPr>
            <w:tcW w:w="1620" w:type="dxa"/>
          </w:tcPr>
          <w:p w14:paraId="23C9023D" w14:textId="099FBDA8" w:rsidR="009707C0" w:rsidRPr="00893CFC" w:rsidRDefault="000161D6" w:rsidP="00684059">
            <w:pPr>
              <w:rPr>
                <w:rFonts w:ascii="Calibri" w:hAnsi="Calibri" w:cs="Calibri"/>
              </w:rPr>
            </w:pPr>
            <w:r w:rsidRPr="00893CFC">
              <w:rPr>
                <w:rFonts w:ascii="Calibri" w:eastAsia="Calibri" w:hAnsi="Calibri" w:cs="Calibri"/>
              </w:rPr>
              <w:t>42 CFR 438.206</w:t>
            </w:r>
            <w:r w:rsidR="009707C0" w:rsidRPr="00893CFC">
              <w:rPr>
                <w:rFonts w:ascii="Calibri" w:eastAsia="Calibri" w:hAnsi="Calibri" w:cs="Calibri"/>
              </w:rPr>
              <w:t xml:space="preserve">                                                                                                                 </w:t>
            </w:r>
          </w:p>
        </w:tc>
        <w:tc>
          <w:tcPr>
            <w:tcW w:w="2790" w:type="dxa"/>
          </w:tcPr>
          <w:p w14:paraId="50455FC6" w14:textId="77777777" w:rsidR="009707C0" w:rsidRPr="00893CFC" w:rsidRDefault="00532A20" w:rsidP="00684059">
            <w:pPr>
              <w:rPr>
                <w:rFonts w:ascii="Calibri" w:hAnsi="Calibri" w:cs="Calibri"/>
              </w:rPr>
            </w:pPr>
            <w:r w:rsidRPr="00893CFC">
              <w:rPr>
                <w:rFonts w:ascii="Calibri" w:hAnsi="Calibri" w:cs="Calibri"/>
              </w:rPr>
              <w:t>Policy/procedure</w:t>
            </w:r>
          </w:p>
          <w:p w14:paraId="66CA4CB0" w14:textId="77777777" w:rsidR="00E7567B" w:rsidRPr="00893CFC" w:rsidRDefault="00E7567B" w:rsidP="00684059">
            <w:pPr>
              <w:rPr>
                <w:rFonts w:ascii="Calibri" w:hAnsi="Calibri" w:cs="Calibri"/>
              </w:rPr>
            </w:pPr>
          </w:p>
          <w:p w14:paraId="471FA7BD" w14:textId="77777777" w:rsidR="00E7567B" w:rsidRPr="00893CFC" w:rsidRDefault="00E7567B" w:rsidP="00684059">
            <w:pPr>
              <w:rPr>
                <w:rFonts w:ascii="Calibri" w:hAnsi="Calibri" w:cs="Calibri"/>
              </w:rPr>
            </w:pPr>
            <w:r w:rsidRPr="00893CFC">
              <w:rPr>
                <w:rFonts w:ascii="Calibri" w:hAnsi="Calibri" w:cs="Calibri"/>
              </w:rPr>
              <w:t>Claims processing guidelines for out-of-network providers</w:t>
            </w:r>
          </w:p>
          <w:p w14:paraId="6232B8A8" w14:textId="77777777" w:rsidR="00AA41EE" w:rsidRPr="00893CFC" w:rsidRDefault="00AA41EE" w:rsidP="00684059">
            <w:pPr>
              <w:rPr>
                <w:rFonts w:ascii="Calibri" w:hAnsi="Calibri" w:cs="Calibri"/>
              </w:rPr>
            </w:pPr>
          </w:p>
          <w:p w14:paraId="71679CF3" w14:textId="558FC477" w:rsidR="00AA41EE" w:rsidRPr="00893CFC" w:rsidRDefault="00AA41EE" w:rsidP="00684059">
            <w:pPr>
              <w:rPr>
                <w:rFonts w:ascii="Calibri" w:hAnsi="Calibri" w:cs="Calibri"/>
              </w:rPr>
            </w:pPr>
            <w:r w:rsidRPr="00893CFC">
              <w:rPr>
                <w:rFonts w:ascii="Calibri" w:hAnsi="Calibri" w:cs="Calibri"/>
              </w:rPr>
              <w:t xml:space="preserve">Provider materials, such as materials on the </w:t>
            </w:r>
            <w:r w:rsidRPr="00893CFC">
              <w:rPr>
                <w:rFonts w:ascii="Calibri" w:hAnsi="Calibri" w:cs="Calibri"/>
              </w:rPr>
              <w:lastRenderedPageBreak/>
              <w:t>CMHSP’s website – Provide link</w:t>
            </w:r>
            <w:r w:rsidR="001052E3" w:rsidRPr="00893CFC">
              <w:rPr>
                <w:rFonts w:ascii="Calibri" w:hAnsi="Calibri" w:cs="Calibri"/>
              </w:rPr>
              <w:t xml:space="preserve"> in this tool.</w:t>
            </w:r>
          </w:p>
        </w:tc>
        <w:tc>
          <w:tcPr>
            <w:tcW w:w="1980" w:type="dxa"/>
          </w:tcPr>
          <w:p w14:paraId="2EFCF85C" w14:textId="0770DD9A" w:rsidR="009707C0" w:rsidRPr="00893CFC" w:rsidRDefault="009707C0" w:rsidP="00684059">
            <w:pPr>
              <w:rPr>
                <w:rFonts w:ascii="Calibri" w:hAnsi="Calibri" w:cs="Calibri"/>
              </w:rPr>
            </w:pPr>
          </w:p>
        </w:tc>
        <w:tc>
          <w:tcPr>
            <w:tcW w:w="3510" w:type="dxa"/>
          </w:tcPr>
          <w:p w14:paraId="39D0B26C" w14:textId="324090AE" w:rsidR="009707C0" w:rsidRPr="00893CFC" w:rsidRDefault="009707C0" w:rsidP="00684059">
            <w:pPr>
              <w:rPr>
                <w:rFonts w:ascii="Calibri" w:hAnsi="Calibri" w:cs="Calibri"/>
              </w:rPr>
            </w:pPr>
          </w:p>
        </w:tc>
      </w:tr>
      <w:tr w:rsidR="009707C0" w:rsidRPr="00893CFC" w14:paraId="0402A39A" w14:textId="77777777" w:rsidTr="26586EB5">
        <w:tc>
          <w:tcPr>
            <w:tcW w:w="1075" w:type="dxa"/>
          </w:tcPr>
          <w:p w14:paraId="06803C63" w14:textId="59D4E820" w:rsidR="009707C0" w:rsidRPr="00893CFC" w:rsidRDefault="00811222" w:rsidP="00684059">
            <w:pPr>
              <w:rPr>
                <w:rFonts w:ascii="Calibri" w:hAnsi="Calibri" w:cs="Calibri"/>
                <w:bCs/>
              </w:rPr>
            </w:pPr>
            <w:r w:rsidRPr="00893CFC">
              <w:rPr>
                <w:rFonts w:ascii="Calibri" w:hAnsi="Calibri" w:cs="Calibri"/>
                <w:bCs/>
              </w:rPr>
              <w:t>3</w:t>
            </w:r>
            <w:r w:rsidR="009707C0" w:rsidRPr="00893CFC">
              <w:rPr>
                <w:rFonts w:ascii="Calibri" w:hAnsi="Calibri" w:cs="Calibri"/>
                <w:bCs/>
              </w:rPr>
              <w:t>.5</w:t>
            </w:r>
          </w:p>
        </w:tc>
        <w:tc>
          <w:tcPr>
            <w:tcW w:w="3510" w:type="dxa"/>
          </w:tcPr>
          <w:p w14:paraId="009943FD" w14:textId="62482FBF" w:rsidR="009707C0" w:rsidRPr="00893CFC" w:rsidRDefault="00811222" w:rsidP="00684059">
            <w:pPr>
              <w:rPr>
                <w:rFonts w:ascii="Calibri" w:hAnsi="Calibri" w:cs="Calibri"/>
                <w:bCs/>
              </w:rPr>
            </w:pPr>
            <w:r w:rsidRPr="00893CFC">
              <w:rPr>
                <w:rFonts w:ascii="Calibri" w:eastAsia="Calibri" w:hAnsi="Calibri" w:cs="Calibri"/>
              </w:rPr>
              <w:t>CMHSP gives each beneficiary written notice of a significant change in its applicable provider network including the addition of new providers and planned termination of existing providers.</w:t>
            </w:r>
          </w:p>
        </w:tc>
        <w:tc>
          <w:tcPr>
            <w:tcW w:w="1620" w:type="dxa"/>
          </w:tcPr>
          <w:p w14:paraId="12D1DFDC" w14:textId="5D8D30B4" w:rsidR="009707C0" w:rsidRPr="00893CFC" w:rsidRDefault="00B225A0" w:rsidP="00684059">
            <w:pPr>
              <w:rPr>
                <w:rFonts w:ascii="Calibri" w:hAnsi="Calibri" w:cs="Calibri"/>
              </w:rPr>
            </w:pPr>
            <w:r w:rsidRPr="00893CFC">
              <w:rPr>
                <w:rFonts w:ascii="Calibri" w:eastAsia="Calibri" w:hAnsi="Calibri" w:cs="Calibri"/>
              </w:rPr>
              <w:t>CMHSP Contract – Delegation Grid</w:t>
            </w:r>
            <w:r w:rsidR="009707C0" w:rsidRPr="00893CFC">
              <w:rPr>
                <w:rFonts w:ascii="Calibri" w:eastAsia="Calibri" w:hAnsi="Calibri" w:cs="Calibri"/>
              </w:rPr>
              <w:t xml:space="preserve">                                                                          </w:t>
            </w:r>
          </w:p>
        </w:tc>
        <w:tc>
          <w:tcPr>
            <w:tcW w:w="2790" w:type="dxa"/>
          </w:tcPr>
          <w:p w14:paraId="12E48401" w14:textId="3C5F3F8B" w:rsidR="00744B8D" w:rsidRPr="00893CFC" w:rsidRDefault="00744B8D" w:rsidP="00744B8D">
            <w:pPr>
              <w:rPr>
                <w:rFonts w:ascii="Calibri" w:hAnsi="Calibri" w:cs="Calibri"/>
              </w:rPr>
            </w:pPr>
            <w:r w:rsidRPr="00893CFC">
              <w:rPr>
                <w:rFonts w:ascii="Calibri" w:hAnsi="Calibri" w:cs="Calibri"/>
              </w:rPr>
              <w:t>Policy/Procedure</w:t>
            </w:r>
          </w:p>
          <w:p w14:paraId="2CCF0070" w14:textId="77777777" w:rsidR="00744B8D" w:rsidRPr="00893CFC" w:rsidRDefault="00744B8D" w:rsidP="00744B8D">
            <w:pPr>
              <w:rPr>
                <w:rFonts w:ascii="Calibri" w:hAnsi="Calibri" w:cs="Calibri"/>
              </w:rPr>
            </w:pPr>
          </w:p>
          <w:p w14:paraId="1885AF13" w14:textId="63A8E3DE" w:rsidR="009707C0" w:rsidRPr="00893CFC" w:rsidRDefault="00744B8D" w:rsidP="00744B8D">
            <w:pPr>
              <w:rPr>
                <w:rFonts w:ascii="Calibri" w:hAnsi="Calibri" w:cs="Calibri"/>
              </w:rPr>
            </w:pPr>
            <w:r w:rsidRPr="00893CFC">
              <w:rPr>
                <w:rFonts w:ascii="Calibri" w:hAnsi="Calibri" w:cs="Calibri"/>
              </w:rPr>
              <w:t>3 Examples of Beneficiary Notices</w:t>
            </w:r>
          </w:p>
        </w:tc>
        <w:tc>
          <w:tcPr>
            <w:tcW w:w="1980" w:type="dxa"/>
          </w:tcPr>
          <w:p w14:paraId="5B9A3B10" w14:textId="1C508934" w:rsidR="009707C0" w:rsidRPr="00893CFC" w:rsidRDefault="009707C0" w:rsidP="00684059">
            <w:pPr>
              <w:rPr>
                <w:rFonts w:ascii="Calibri" w:hAnsi="Calibri" w:cs="Calibri"/>
              </w:rPr>
            </w:pPr>
          </w:p>
        </w:tc>
        <w:tc>
          <w:tcPr>
            <w:tcW w:w="3510" w:type="dxa"/>
          </w:tcPr>
          <w:p w14:paraId="46D8BE20" w14:textId="3CDE2BBC" w:rsidR="009707C0" w:rsidRPr="00893CFC" w:rsidRDefault="009707C0" w:rsidP="00684059">
            <w:pPr>
              <w:rPr>
                <w:rFonts w:ascii="Calibri" w:hAnsi="Calibri" w:cs="Calibri"/>
              </w:rPr>
            </w:pPr>
          </w:p>
        </w:tc>
      </w:tr>
      <w:tr w:rsidR="009707C0" w:rsidRPr="00893CFC" w14:paraId="05705A73" w14:textId="77777777" w:rsidTr="26586EB5">
        <w:tc>
          <w:tcPr>
            <w:tcW w:w="1075" w:type="dxa"/>
          </w:tcPr>
          <w:p w14:paraId="744AF37B" w14:textId="65E304D3" w:rsidR="009707C0" w:rsidRPr="00893CFC" w:rsidRDefault="00744B8D" w:rsidP="00684059">
            <w:pPr>
              <w:rPr>
                <w:rFonts w:ascii="Calibri" w:hAnsi="Calibri" w:cs="Calibri"/>
                <w:bCs/>
              </w:rPr>
            </w:pPr>
            <w:r w:rsidRPr="00893CFC">
              <w:rPr>
                <w:rFonts w:ascii="Calibri" w:hAnsi="Calibri" w:cs="Calibri"/>
                <w:bCs/>
              </w:rPr>
              <w:t>3</w:t>
            </w:r>
            <w:r w:rsidR="009707C0" w:rsidRPr="00893CFC">
              <w:rPr>
                <w:rFonts w:ascii="Calibri" w:hAnsi="Calibri" w:cs="Calibri"/>
                <w:bCs/>
              </w:rPr>
              <w:t>.6</w:t>
            </w:r>
          </w:p>
        </w:tc>
        <w:tc>
          <w:tcPr>
            <w:tcW w:w="3510" w:type="dxa"/>
          </w:tcPr>
          <w:p w14:paraId="7A6B99C9" w14:textId="7E5AA884" w:rsidR="009707C0" w:rsidRPr="00893CFC" w:rsidRDefault="006D47E6" w:rsidP="00684059">
            <w:pPr>
              <w:rPr>
                <w:rFonts w:ascii="Calibri" w:hAnsi="Calibri" w:cs="Calibri"/>
                <w:bCs/>
              </w:rPr>
            </w:pPr>
            <w:r w:rsidRPr="00893CFC">
              <w:rPr>
                <w:rFonts w:ascii="Calibri" w:eastAsia="Calibri" w:hAnsi="Calibri" w:cs="Calibri"/>
              </w:rPr>
              <w:t>CMHSP makes a good faith effort to give written notice of termination of a contracted provider to each enrollee who received his or her primary care from, or was seen on a regular basis by, the terminated provider as defined in 42 CFR 438.10(f)(1). Notice to the enrollee must be provided by the later of 30 calendar days prior to the effective date of the termination, or 15 calendar days after receipt or issuance of the termination notice. (42 CFR §438.10(f)(1)</w:t>
            </w:r>
          </w:p>
        </w:tc>
        <w:tc>
          <w:tcPr>
            <w:tcW w:w="1620" w:type="dxa"/>
          </w:tcPr>
          <w:p w14:paraId="0CF7A7A3" w14:textId="5E0E6CA5" w:rsidR="009707C0" w:rsidRPr="00893CFC" w:rsidRDefault="00E57FC0" w:rsidP="00E57FC0">
            <w:pPr>
              <w:jc w:val="both"/>
              <w:rPr>
                <w:rFonts w:ascii="Calibri" w:hAnsi="Calibri" w:cs="Calibri"/>
              </w:rPr>
            </w:pPr>
            <w:r w:rsidRPr="00893CFC">
              <w:rPr>
                <w:rFonts w:ascii="Calibri" w:eastAsia="Calibri" w:hAnsi="Calibri" w:cs="Calibri"/>
              </w:rPr>
              <w:t xml:space="preserve">CMHSP Contract – Delegation Grid </w:t>
            </w:r>
            <w:r w:rsidR="009707C0" w:rsidRPr="00893CFC">
              <w:rPr>
                <w:rFonts w:ascii="Calibri" w:eastAsia="Calibri" w:hAnsi="Calibri" w:cs="Calibri"/>
              </w:rPr>
              <w:t xml:space="preserve">                                                                                                                                                          </w:t>
            </w:r>
          </w:p>
        </w:tc>
        <w:tc>
          <w:tcPr>
            <w:tcW w:w="2790" w:type="dxa"/>
          </w:tcPr>
          <w:p w14:paraId="668F2A64" w14:textId="52BBD669" w:rsidR="00A0341E" w:rsidRPr="00893CFC" w:rsidRDefault="00A0341E" w:rsidP="00A0341E">
            <w:pPr>
              <w:rPr>
                <w:rFonts w:ascii="Calibri" w:hAnsi="Calibri" w:cs="Calibri"/>
              </w:rPr>
            </w:pPr>
            <w:r w:rsidRPr="00893CFC">
              <w:rPr>
                <w:rFonts w:ascii="Calibri" w:hAnsi="Calibri" w:cs="Calibri"/>
              </w:rPr>
              <w:t>Policy/Procedure</w:t>
            </w:r>
          </w:p>
          <w:p w14:paraId="028FD52B" w14:textId="77777777" w:rsidR="00A0341E" w:rsidRPr="00893CFC" w:rsidRDefault="00A0341E" w:rsidP="00A0341E">
            <w:pPr>
              <w:rPr>
                <w:rFonts w:ascii="Calibri" w:hAnsi="Calibri" w:cs="Calibri"/>
              </w:rPr>
            </w:pPr>
          </w:p>
          <w:p w14:paraId="13E6D62F" w14:textId="64175CC2" w:rsidR="009707C0" w:rsidRPr="00893CFC" w:rsidRDefault="00A0341E" w:rsidP="00A0341E">
            <w:pPr>
              <w:rPr>
                <w:rFonts w:ascii="Calibri" w:hAnsi="Calibri" w:cs="Calibri"/>
              </w:rPr>
            </w:pPr>
            <w:r w:rsidRPr="00893CFC">
              <w:rPr>
                <w:rFonts w:ascii="Calibri" w:hAnsi="Calibri" w:cs="Calibri"/>
              </w:rPr>
              <w:t>3 Examples of Beneficiary Notices</w:t>
            </w:r>
          </w:p>
        </w:tc>
        <w:tc>
          <w:tcPr>
            <w:tcW w:w="1980" w:type="dxa"/>
          </w:tcPr>
          <w:p w14:paraId="19B384DF" w14:textId="6F4E6BDF" w:rsidR="009707C0" w:rsidRPr="00893CFC" w:rsidRDefault="009707C0" w:rsidP="00684059">
            <w:pPr>
              <w:rPr>
                <w:rFonts w:ascii="Calibri" w:hAnsi="Calibri" w:cs="Calibri"/>
              </w:rPr>
            </w:pPr>
          </w:p>
        </w:tc>
        <w:tc>
          <w:tcPr>
            <w:tcW w:w="3510" w:type="dxa"/>
          </w:tcPr>
          <w:p w14:paraId="16FD108B" w14:textId="436CB811" w:rsidR="009707C0" w:rsidRPr="00893CFC" w:rsidRDefault="009707C0" w:rsidP="00684059">
            <w:pPr>
              <w:rPr>
                <w:rFonts w:ascii="Calibri" w:hAnsi="Calibri" w:cs="Calibri"/>
              </w:rPr>
            </w:pPr>
          </w:p>
        </w:tc>
      </w:tr>
      <w:tr w:rsidR="000148E3" w:rsidRPr="00893CFC" w14:paraId="2DC64C1B" w14:textId="77777777" w:rsidTr="26586EB5">
        <w:tc>
          <w:tcPr>
            <w:tcW w:w="14485" w:type="dxa"/>
            <w:gridSpan w:val="6"/>
          </w:tcPr>
          <w:p w14:paraId="068EC272" w14:textId="3F2218A1" w:rsidR="000148E3" w:rsidRPr="00893CFC" w:rsidRDefault="00346365" w:rsidP="00684059">
            <w:pPr>
              <w:rPr>
                <w:rFonts w:ascii="Calibri" w:hAnsi="Calibri" w:cs="Calibri"/>
              </w:rPr>
            </w:pPr>
            <w:r w:rsidRPr="00893CFC">
              <w:rPr>
                <w:rFonts w:ascii="Calibri" w:eastAsia="Calibri" w:hAnsi="Calibri" w:cs="Calibri"/>
                <w:b/>
                <w:bCs/>
              </w:rPr>
              <w:t>Timely Access</w:t>
            </w:r>
            <w:r w:rsidR="00A220A9" w:rsidRPr="00893CFC">
              <w:rPr>
                <w:rFonts w:ascii="Calibri" w:eastAsia="Calibri" w:hAnsi="Calibri" w:cs="Calibri"/>
                <w:b/>
                <w:bCs/>
              </w:rPr>
              <w:t xml:space="preserve"> </w:t>
            </w:r>
          </w:p>
        </w:tc>
      </w:tr>
      <w:tr w:rsidR="009707C0" w:rsidRPr="00893CFC" w14:paraId="53AC6BED" w14:textId="77777777" w:rsidTr="26586EB5">
        <w:tc>
          <w:tcPr>
            <w:tcW w:w="1075" w:type="dxa"/>
          </w:tcPr>
          <w:p w14:paraId="2B628698" w14:textId="3204AD55" w:rsidR="009707C0" w:rsidRPr="00893CFC" w:rsidRDefault="00346365" w:rsidP="00684059">
            <w:pPr>
              <w:rPr>
                <w:rFonts w:ascii="Calibri" w:eastAsia="Calibri" w:hAnsi="Calibri" w:cs="Calibri"/>
              </w:rPr>
            </w:pPr>
            <w:r w:rsidRPr="00893CFC">
              <w:rPr>
                <w:rFonts w:ascii="Calibri" w:eastAsia="Calibri" w:hAnsi="Calibri" w:cs="Calibri"/>
              </w:rPr>
              <w:lastRenderedPageBreak/>
              <w:t>3.7</w:t>
            </w:r>
          </w:p>
        </w:tc>
        <w:tc>
          <w:tcPr>
            <w:tcW w:w="3510" w:type="dxa"/>
          </w:tcPr>
          <w:p w14:paraId="44C14FFA" w14:textId="77777777" w:rsidR="00945087" w:rsidRPr="00893CFC" w:rsidRDefault="00945087" w:rsidP="00945087">
            <w:pPr>
              <w:rPr>
                <w:rFonts w:ascii="Calibri" w:hAnsi="Calibri" w:cs="Calibri"/>
                <w:color w:val="000000"/>
              </w:rPr>
            </w:pPr>
            <w:r w:rsidRPr="00893CFC">
              <w:rPr>
                <w:rFonts w:ascii="Calibri" w:hAnsi="Calibri" w:cs="Calibri"/>
                <w:color w:val="000000"/>
              </w:rPr>
              <w:t xml:space="preserve">The CMHSP Access System must operate or arrange an access line that is available 24 hours per day, seven days per week, including in-person and by-telephone access for hearing impaired individuals. </w:t>
            </w:r>
          </w:p>
          <w:p w14:paraId="47260190" w14:textId="77777777" w:rsidR="00945087" w:rsidRPr="00893CFC" w:rsidRDefault="00945087" w:rsidP="00945087">
            <w:pPr>
              <w:rPr>
                <w:rFonts w:ascii="Calibri" w:hAnsi="Calibri" w:cs="Calibri"/>
                <w:color w:val="000000"/>
              </w:rPr>
            </w:pPr>
            <w:r w:rsidRPr="00893CFC">
              <w:rPr>
                <w:rFonts w:ascii="Calibri" w:hAnsi="Calibri" w:cs="Calibri"/>
                <w:color w:val="000000"/>
              </w:rPr>
              <w:t>a. Telephone lines are toll-free; accommodate limited English proficiency; are accessible for individuals with hearing impairments, using interpreters, text messaging, or videophone access; and have electronic caller identification, if locally available.</w:t>
            </w:r>
          </w:p>
          <w:p w14:paraId="1816D6B1" w14:textId="77777777" w:rsidR="00945087" w:rsidRPr="00893CFC" w:rsidRDefault="00945087" w:rsidP="00945087">
            <w:pPr>
              <w:rPr>
                <w:rFonts w:ascii="Calibri" w:hAnsi="Calibri" w:cs="Calibri"/>
                <w:color w:val="000000"/>
              </w:rPr>
            </w:pPr>
            <w:r w:rsidRPr="00893CFC">
              <w:rPr>
                <w:rFonts w:ascii="Calibri" w:hAnsi="Calibri" w:cs="Calibri"/>
                <w:color w:val="000000"/>
              </w:rPr>
              <w:t xml:space="preserve">b. Callers encounter no telephone “trees” and are not put on hold or sent to voicemail until they have spoken with a live representative from the Access System, and it is determined, following an empathetic opportunity for the caller to express their situation and circumstances, that their </w:t>
            </w:r>
            <w:r w:rsidRPr="00893CFC">
              <w:rPr>
                <w:rFonts w:ascii="Calibri" w:hAnsi="Calibri" w:cs="Calibri"/>
                <w:color w:val="000000"/>
              </w:rPr>
              <w:lastRenderedPageBreak/>
              <w:t>situation is not urgent or emergent.</w:t>
            </w:r>
          </w:p>
          <w:p w14:paraId="3F3714ED" w14:textId="77777777" w:rsidR="00945087" w:rsidRPr="00893CFC" w:rsidRDefault="00945087" w:rsidP="00945087">
            <w:pPr>
              <w:rPr>
                <w:rFonts w:ascii="Calibri" w:hAnsi="Calibri" w:cs="Calibri"/>
                <w:color w:val="000000"/>
              </w:rPr>
            </w:pPr>
            <w:r w:rsidRPr="00893CFC">
              <w:rPr>
                <w:rFonts w:ascii="Calibri" w:hAnsi="Calibri" w:cs="Calibri"/>
                <w:color w:val="000000"/>
              </w:rPr>
              <w:t>c. All crisis/emergent calls are immediately transferred to a qualified practitioner without requiring an individual to call back.</w:t>
            </w:r>
          </w:p>
          <w:p w14:paraId="7DD24670" w14:textId="3F2A8CA8" w:rsidR="009707C0" w:rsidRPr="00893CFC" w:rsidRDefault="00945087" w:rsidP="00945087">
            <w:pPr>
              <w:rPr>
                <w:rFonts w:ascii="Calibri" w:hAnsi="Calibri" w:cs="Calibri"/>
                <w:color w:val="000000"/>
              </w:rPr>
            </w:pPr>
            <w:r w:rsidRPr="00893CFC">
              <w:rPr>
                <w:rFonts w:ascii="Calibri" w:hAnsi="Calibri" w:cs="Calibri"/>
                <w:color w:val="000000"/>
              </w:rPr>
              <w:t>d. For non-emergent calls, a person’s time on hold awaiting a screening must not exceed three minutes without being offered an option for callback or talking with a non-professional in the interim.</w:t>
            </w:r>
          </w:p>
        </w:tc>
        <w:tc>
          <w:tcPr>
            <w:tcW w:w="1620" w:type="dxa"/>
          </w:tcPr>
          <w:p w14:paraId="06E532FF" w14:textId="3A854BE0" w:rsidR="009707C0" w:rsidRPr="00893CFC" w:rsidRDefault="00557BE0" w:rsidP="00684059">
            <w:pPr>
              <w:rPr>
                <w:rFonts w:ascii="Calibri" w:eastAsia="Calibri" w:hAnsi="Calibri" w:cs="Calibri"/>
              </w:rPr>
            </w:pPr>
            <w:r w:rsidRPr="00893CFC">
              <w:rPr>
                <w:rFonts w:ascii="Calibri" w:eastAsia="Calibri" w:hAnsi="Calibri" w:cs="Calibri"/>
              </w:rPr>
              <w:lastRenderedPageBreak/>
              <w:t>42 CFR 438.206</w:t>
            </w:r>
          </w:p>
        </w:tc>
        <w:tc>
          <w:tcPr>
            <w:tcW w:w="2790" w:type="dxa"/>
          </w:tcPr>
          <w:p w14:paraId="630F6845" w14:textId="712B7698" w:rsidR="00477C0F" w:rsidRPr="00893CFC" w:rsidRDefault="00477C0F" w:rsidP="00477C0F">
            <w:pPr>
              <w:rPr>
                <w:rFonts w:ascii="Calibri" w:eastAsia="Calibri" w:hAnsi="Calibri" w:cs="Calibri"/>
              </w:rPr>
            </w:pPr>
            <w:r w:rsidRPr="00893CFC">
              <w:rPr>
                <w:rFonts w:ascii="Calibri" w:eastAsia="Calibri" w:hAnsi="Calibri" w:cs="Calibri"/>
              </w:rPr>
              <w:t>Policy/procedure</w:t>
            </w:r>
          </w:p>
          <w:p w14:paraId="4200B0B0" w14:textId="77777777" w:rsidR="00477C0F" w:rsidRPr="00893CFC" w:rsidRDefault="00477C0F" w:rsidP="00477C0F">
            <w:pPr>
              <w:rPr>
                <w:rFonts w:ascii="Calibri" w:eastAsia="Calibri" w:hAnsi="Calibri" w:cs="Calibri"/>
              </w:rPr>
            </w:pPr>
          </w:p>
          <w:p w14:paraId="61200C3C" w14:textId="6FE762A0" w:rsidR="00477C0F" w:rsidRPr="00893CFC" w:rsidRDefault="00477C0F" w:rsidP="00477C0F">
            <w:pPr>
              <w:rPr>
                <w:rFonts w:ascii="Calibri" w:eastAsia="Calibri" w:hAnsi="Calibri" w:cs="Calibri"/>
              </w:rPr>
            </w:pPr>
            <w:r w:rsidRPr="00893CFC">
              <w:rPr>
                <w:rFonts w:ascii="Calibri" w:eastAsia="Calibri" w:hAnsi="Calibri" w:cs="Calibri"/>
              </w:rPr>
              <w:t>Telephone system triage workflow</w:t>
            </w:r>
          </w:p>
          <w:p w14:paraId="3C1D1F7F" w14:textId="77777777" w:rsidR="00477C0F" w:rsidRPr="00893CFC" w:rsidRDefault="00477C0F" w:rsidP="00477C0F">
            <w:pPr>
              <w:rPr>
                <w:rFonts w:ascii="Calibri" w:eastAsia="Calibri" w:hAnsi="Calibri" w:cs="Calibri"/>
              </w:rPr>
            </w:pPr>
          </w:p>
          <w:p w14:paraId="21E2214D" w14:textId="66F76651" w:rsidR="009707C0" w:rsidRPr="00893CFC" w:rsidRDefault="00477C0F" w:rsidP="00477C0F">
            <w:pPr>
              <w:rPr>
                <w:rFonts w:ascii="Calibri" w:eastAsia="Calibri" w:hAnsi="Calibri" w:cs="Calibri"/>
              </w:rPr>
            </w:pPr>
            <w:r w:rsidRPr="00893CFC">
              <w:rPr>
                <w:rFonts w:ascii="Calibri" w:eastAsia="Calibri" w:hAnsi="Calibri" w:cs="Calibri"/>
              </w:rPr>
              <w:t>Timeliness monitoring reports</w:t>
            </w:r>
          </w:p>
        </w:tc>
        <w:tc>
          <w:tcPr>
            <w:tcW w:w="1980" w:type="dxa"/>
          </w:tcPr>
          <w:p w14:paraId="2E0E8C17" w14:textId="77777777" w:rsidR="009707C0" w:rsidRPr="00893CFC" w:rsidRDefault="009707C0" w:rsidP="00684059">
            <w:pPr>
              <w:rPr>
                <w:rFonts w:ascii="Calibri" w:hAnsi="Calibri" w:cs="Calibri"/>
              </w:rPr>
            </w:pPr>
          </w:p>
          <w:p w14:paraId="3266C1FF" w14:textId="77777777" w:rsidR="00832108" w:rsidRPr="00893CFC" w:rsidRDefault="00832108" w:rsidP="00684059">
            <w:pPr>
              <w:rPr>
                <w:rFonts w:ascii="Calibri" w:hAnsi="Calibri" w:cs="Calibri"/>
              </w:rPr>
            </w:pPr>
          </w:p>
          <w:p w14:paraId="7F41F279" w14:textId="77777777" w:rsidR="00832108" w:rsidRPr="00893CFC" w:rsidRDefault="00832108" w:rsidP="00684059">
            <w:pPr>
              <w:rPr>
                <w:rFonts w:ascii="Calibri" w:hAnsi="Calibri" w:cs="Calibri"/>
              </w:rPr>
            </w:pPr>
          </w:p>
          <w:p w14:paraId="7B245771" w14:textId="7FEC34A6" w:rsidR="00832108" w:rsidRPr="00893CFC" w:rsidRDefault="00832108" w:rsidP="00684059">
            <w:pPr>
              <w:jc w:val="center"/>
              <w:rPr>
                <w:rFonts w:ascii="Calibri" w:hAnsi="Calibri" w:cs="Calibri"/>
              </w:rPr>
            </w:pPr>
          </w:p>
        </w:tc>
        <w:tc>
          <w:tcPr>
            <w:tcW w:w="3510" w:type="dxa"/>
          </w:tcPr>
          <w:p w14:paraId="3C3B8D67" w14:textId="141B680F" w:rsidR="009707C0" w:rsidRPr="00893CFC" w:rsidRDefault="009707C0" w:rsidP="00684059">
            <w:pPr>
              <w:rPr>
                <w:rFonts w:ascii="Calibri" w:hAnsi="Calibri" w:cs="Calibri"/>
              </w:rPr>
            </w:pPr>
          </w:p>
        </w:tc>
      </w:tr>
      <w:tr w:rsidR="00C37F4D" w:rsidRPr="00893CFC" w14:paraId="3D684F1C" w14:textId="77777777" w:rsidTr="26586EB5">
        <w:tc>
          <w:tcPr>
            <w:tcW w:w="1075" w:type="dxa"/>
          </w:tcPr>
          <w:p w14:paraId="07557BC7" w14:textId="382F36C4" w:rsidR="00C37F4D" w:rsidRPr="00893CFC" w:rsidRDefault="00346365" w:rsidP="00684059">
            <w:pPr>
              <w:rPr>
                <w:rFonts w:ascii="Calibri" w:eastAsia="Calibri" w:hAnsi="Calibri" w:cs="Calibri"/>
              </w:rPr>
            </w:pPr>
            <w:r w:rsidRPr="00893CFC">
              <w:rPr>
                <w:rFonts w:ascii="Calibri" w:eastAsia="Calibri" w:hAnsi="Calibri" w:cs="Calibri"/>
              </w:rPr>
              <w:t>3.8</w:t>
            </w:r>
          </w:p>
        </w:tc>
        <w:tc>
          <w:tcPr>
            <w:tcW w:w="3510" w:type="dxa"/>
          </w:tcPr>
          <w:p w14:paraId="0605A1C4" w14:textId="77777777" w:rsidR="00440099" w:rsidRPr="00893CFC" w:rsidRDefault="00440099" w:rsidP="00440099">
            <w:pPr>
              <w:rPr>
                <w:rFonts w:ascii="Calibri" w:hAnsi="Calibri" w:cs="Calibri"/>
                <w:color w:val="000000"/>
              </w:rPr>
            </w:pPr>
            <w:r w:rsidRPr="00893CFC">
              <w:rPr>
                <w:rFonts w:ascii="Calibri" w:hAnsi="Calibri" w:cs="Calibri"/>
                <w:color w:val="000000"/>
              </w:rPr>
              <w:t>The Access System shall provide a timely, effective response to all individuals who walk in.</w:t>
            </w:r>
          </w:p>
          <w:p w14:paraId="211B8B2F" w14:textId="77777777" w:rsidR="00440099" w:rsidRPr="00893CFC" w:rsidRDefault="00440099" w:rsidP="00440099">
            <w:pPr>
              <w:rPr>
                <w:rFonts w:ascii="Calibri" w:hAnsi="Calibri" w:cs="Calibri"/>
                <w:color w:val="000000"/>
              </w:rPr>
            </w:pPr>
            <w:r w:rsidRPr="00893CFC">
              <w:rPr>
                <w:rFonts w:ascii="Calibri" w:hAnsi="Calibri" w:cs="Calibri"/>
                <w:color w:val="000000"/>
              </w:rPr>
              <w:t>a. For individuals who walk in with urgent or emergent needs, an intervention shall be immediately initiated.</w:t>
            </w:r>
          </w:p>
          <w:p w14:paraId="757A4447" w14:textId="38B75FA5" w:rsidR="00C37F4D" w:rsidRPr="00893CFC" w:rsidRDefault="00440099" w:rsidP="00440099">
            <w:pPr>
              <w:rPr>
                <w:rFonts w:ascii="Calibri" w:hAnsi="Calibri" w:cs="Calibri"/>
                <w:color w:val="000000"/>
              </w:rPr>
            </w:pPr>
            <w:r w:rsidRPr="00893CFC">
              <w:rPr>
                <w:rFonts w:ascii="Calibri" w:hAnsi="Calibri" w:cs="Calibri"/>
                <w:color w:val="000000"/>
              </w:rPr>
              <w:t>b. Individuals with routine needs must be screened or other arrangements made within 30 minutes .</w:t>
            </w:r>
          </w:p>
        </w:tc>
        <w:tc>
          <w:tcPr>
            <w:tcW w:w="1620" w:type="dxa"/>
          </w:tcPr>
          <w:p w14:paraId="6E9A4077" w14:textId="246AD48E" w:rsidR="00C37F4D" w:rsidRPr="00893CFC" w:rsidRDefault="00F035AB" w:rsidP="00684059">
            <w:pPr>
              <w:rPr>
                <w:rFonts w:ascii="Calibri" w:eastAsia="Calibri" w:hAnsi="Calibri" w:cs="Calibri"/>
              </w:rPr>
            </w:pPr>
            <w:r w:rsidRPr="00893CFC">
              <w:rPr>
                <w:rFonts w:ascii="Calibri" w:eastAsia="Calibri" w:hAnsi="Calibri" w:cs="Calibri"/>
              </w:rPr>
              <w:t>42 CFR §438.206</w:t>
            </w:r>
          </w:p>
        </w:tc>
        <w:tc>
          <w:tcPr>
            <w:tcW w:w="2790" w:type="dxa"/>
          </w:tcPr>
          <w:p w14:paraId="09249C23" w14:textId="4D25CC88" w:rsidR="000A0E3E" w:rsidRPr="00893CFC" w:rsidRDefault="000A0E3E" w:rsidP="000A0E3E">
            <w:pPr>
              <w:rPr>
                <w:rFonts w:ascii="Calibri" w:eastAsia="Calibri" w:hAnsi="Calibri" w:cs="Calibri"/>
              </w:rPr>
            </w:pPr>
            <w:r w:rsidRPr="00893CFC">
              <w:rPr>
                <w:rFonts w:ascii="Calibri" w:eastAsia="Calibri" w:hAnsi="Calibri" w:cs="Calibri"/>
              </w:rPr>
              <w:t>Policy/Procedure</w:t>
            </w:r>
          </w:p>
          <w:p w14:paraId="16477A20" w14:textId="77777777" w:rsidR="000A0E3E" w:rsidRPr="00893CFC" w:rsidRDefault="000A0E3E" w:rsidP="000A0E3E">
            <w:pPr>
              <w:rPr>
                <w:rFonts w:ascii="Calibri" w:eastAsia="Calibri" w:hAnsi="Calibri" w:cs="Calibri"/>
              </w:rPr>
            </w:pPr>
          </w:p>
          <w:p w14:paraId="2EA80BFE" w14:textId="5C86AE13" w:rsidR="00C37F4D" w:rsidRPr="00893CFC" w:rsidRDefault="000A0E3E" w:rsidP="000A0E3E">
            <w:pPr>
              <w:rPr>
                <w:rFonts w:ascii="Calibri" w:eastAsia="Calibri" w:hAnsi="Calibri" w:cs="Calibri"/>
              </w:rPr>
            </w:pPr>
            <w:r w:rsidRPr="00893CFC">
              <w:rPr>
                <w:rFonts w:ascii="Calibri" w:eastAsia="Calibri" w:hAnsi="Calibri" w:cs="Calibri"/>
              </w:rPr>
              <w:t>Monitoring reports</w:t>
            </w:r>
          </w:p>
        </w:tc>
        <w:tc>
          <w:tcPr>
            <w:tcW w:w="1980" w:type="dxa"/>
          </w:tcPr>
          <w:p w14:paraId="7FE0E55D" w14:textId="4F24E661" w:rsidR="00C37F4D" w:rsidRPr="00893CFC" w:rsidRDefault="00C37F4D" w:rsidP="00684059">
            <w:pPr>
              <w:rPr>
                <w:rFonts w:ascii="Calibri" w:hAnsi="Calibri" w:cs="Calibri"/>
              </w:rPr>
            </w:pPr>
          </w:p>
        </w:tc>
        <w:tc>
          <w:tcPr>
            <w:tcW w:w="3510" w:type="dxa"/>
          </w:tcPr>
          <w:p w14:paraId="71CC15AC" w14:textId="694195C4" w:rsidR="00C37F4D" w:rsidRPr="00893CFC" w:rsidRDefault="00C37F4D" w:rsidP="00684059">
            <w:pPr>
              <w:rPr>
                <w:rFonts w:ascii="Calibri" w:hAnsi="Calibri" w:cs="Calibri"/>
              </w:rPr>
            </w:pPr>
          </w:p>
        </w:tc>
      </w:tr>
      <w:tr w:rsidR="00C37F4D" w:rsidRPr="00893CFC" w14:paraId="55968B85" w14:textId="77777777" w:rsidTr="26586EB5">
        <w:tc>
          <w:tcPr>
            <w:tcW w:w="1075" w:type="dxa"/>
          </w:tcPr>
          <w:p w14:paraId="727F3038" w14:textId="5D14D537" w:rsidR="00C37F4D" w:rsidRPr="00893CFC" w:rsidRDefault="00346365" w:rsidP="00684059">
            <w:pPr>
              <w:rPr>
                <w:rFonts w:ascii="Calibri" w:eastAsia="Calibri" w:hAnsi="Calibri" w:cs="Calibri"/>
              </w:rPr>
            </w:pPr>
            <w:r w:rsidRPr="00893CFC">
              <w:rPr>
                <w:rFonts w:ascii="Calibri" w:eastAsia="Calibri" w:hAnsi="Calibri" w:cs="Calibri"/>
              </w:rPr>
              <w:lastRenderedPageBreak/>
              <w:t>3.9</w:t>
            </w:r>
          </w:p>
        </w:tc>
        <w:tc>
          <w:tcPr>
            <w:tcW w:w="3510" w:type="dxa"/>
          </w:tcPr>
          <w:p w14:paraId="1469B95A" w14:textId="5806E26F" w:rsidR="00C37F4D" w:rsidRPr="00893CFC" w:rsidRDefault="005B3347" w:rsidP="005B3347">
            <w:pPr>
              <w:rPr>
                <w:rFonts w:ascii="Calibri" w:hAnsi="Calibri" w:cs="Calibri"/>
                <w:color w:val="000000"/>
              </w:rPr>
            </w:pPr>
            <w:r w:rsidRPr="00893CFC">
              <w:rPr>
                <w:rFonts w:ascii="Calibri" w:hAnsi="Calibri" w:cs="Calibri"/>
                <w:color w:val="000000"/>
              </w:rPr>
              <w:t>The CMHSP monitors and ensures compliance with MDHHS Priority Population Timely Access Standards by maintaining policies and procedures, collecting and analyzing timeliness data, and implementing corrective actions as needed to confirm that all required priority populations are screened, referred, and admitted within established timeframes.</w:t>
            </w:r>
          </w:p>
        </w:tc>
        <w:tc>
          <w:tcPr>
            <w:tcW w:w="1620" w:type="dxa"/>
          </w:tcPr>
          <w:p w14:paraId="5A36A349" w14:textId="77777777" w:rsidR="005B3347" w:rsidRPr="00893CFC" w:rsidRDefault="005B3347" w:rsidP="00684059">
            <w:pPr>
              <w:rPr>
                <w:rFonts w:ascii="Calibri" w:eastAsia="Calibri" w:hAnsi="Calibri" w:cs="Calibri"/>
              </w:rPr>
            </w:pPr>
            <w:r w:rsidRPr="00893CFC">
              <w:rPr>
                <w:rFonts w:ascii="Calibri" w:eastAsia="Calibri" w:hAnsi="Calibri" w:cs="Calibri"/>
              </w:rPr>
              <w:t xml:space="preserve">42 CFR §438.206; </w:t>
            </w:r>
          </w:p>
          <w:p w14:paraId="4550BD11" w14:textId="77777777" w:rsidR="005B3347" w:rsidRPr="00893CFC" w:rsidRDefault="005B3347" w:rsidP="00684059">
            <w:pPr>
              <w:rPr>
                <w:rFonts w:ascii="Calibri" w:eastAsia="Calibri" w:hAnsi="Calibri" w:cs="Calibri"/>
              </w:rPr>
            </w:pPr>
          </w:p>
          <w:p w14:paraId="36F85F7A" w14:textId="7D231104" w:rsidR="00C37F4D" w:rsidRPr="00893CFC" w:rsidRDefault="005B3347" w:rsidP="00684059">
            <w:pPr>
              <w:rPr>
                <w:rFonts w:ascii="Calibri" w:eastAsia="Calibri" w:hAnsi="Calibri" w:cs="Calibri"/>
              </w:rPr>
            </w:pPr>
            <w:r w:rsidRPr="00893CFC">
              <w:rPr>
                <w:rFonts w:ascii="Calibri" w:eastAsia="Calibri" w:hAnsi="Calibri" w:cs="Calibri"/>
              </w:rPr>
              <w:t>MDHHS Priority Population Access Requirements</w:t>
            </w:r>
          </w:p>
        </w:tc>
        <w:tc>
          <w:tcPr>
            <w:tcW w:w="2790" w:type="dxa"/>
          </w:tcPr>
          <w:p w14:paraId="57BE2134" w14:textId="4A59833E" w:rsidR="009A377B" w:rsidRPr="00893CFC" w:rsidRDefault="009A377B" w:rsidP="009A377B">
            <w:pPr>
              <w:rPr>
                <w:rFonts w:ascii="Calibri" w:eastAsia="Calibri" w:hAnsi="Calibri" w:cs="Calibri"/>
              </w:rPr>
            </w:pPr>
            <w:r w:rsidRPr="00893CFC">
              <w:rPr>
                <w:rFonts w:ascii="Calibri" w:eastAsia="Calibri" w:hAnsi="Calibri" w:cs="Calibri"/>
              </w:rPr>
              <w:t>Policy/Procedure</w:t>
            </w:r>
          </w:p>
          <w:p w14:paraId="6EB06E20" w14:textId="77777777" w:rsidR="009A377B" w:rsidRPr="00893CFC" w:rsidRDefault="009A377B" w:rsidP="009A377B">
            <w:pPr>
              <w:rPr>
                <w:rFonts w:ascii="Calibri" w:eastAsia="Calibri" w:hAnsi="Calibri" w:cs="Calibri"/>
              </w:rPr>
            </w:pPr>
          </w:p>
          <w:p w14:paraId="7173A47B" w14:textId="50D23024" w:rsidR="00C37F4D" w:rsidRPr="00893CFC" w:rsidRDefault="009A377B" w:rsidP="009A377B">
            <w:pPr>
              <w:rPr>
                <w:rFonts w:ascii="Calibri" w:eastAsia="Calibri" w:hAnsi="Calibri" w:cs="Calibri"/>
              </w:rPr>
            </w:pPr>
            <w:r w:rsidRPr="00893CFC">
              <w:rPr>
                <w:rFonts w:ascii="Calibri" w:eastAsia="Calibri" w:hAnsi="Calibri" w:cs="Calibri"/>
              </w:rPr>
              <w:t>Timeliness Monitoring reports</w:t>
            </w:r>
          </w:p>
        </w:tc>
        <w:tc>
          <w:tcPr>
            <w:tcW w:w="1980" w:type="dxa"/>
          </w:tcPr>
          <w:p w14:paraId="7C7A08BA" w14:textId="2A8DB524" w:rsidR="00C37F4D" w:rsidRPr="00893CFC" w:rsidRDefault="00C37F4D" w:rsidP="00684059">
            <w:pPr>
              <w:rPr>
                <w:rFonts w:ascii="Calibri" w:hAnsi="Calibri" w:cs="Calibri"/>
              </w:rPr>
            </w:pPr>
          </w:p>
        </w:tc>
        <w:tc>
          <w:tcPr>
            <w:tcW w:w="3510" w:type="dxa"/>
          </w:tcPr>
          <w:p w14:paraId="70ADC61F" w14:textId="097F0724" w:rsidR="00C37F4D" w:rsidRPr="00893CFC" w:rsidRDefault="00C37F4D" w:rsidP="00684059">
            <w:pPr>
              <w:rPr>
                <w:rFonts w:ascii="Calibri" w:hAnsi="Calibri" w:cs="Calibri"/>
              </w:rPr>
            </w:pPr>
          </w:p>
        </w:tc>
      </w:tr>
      <w:tr w:rsidR="00C37F4D" w:rsidRPr="00893CFC" w14:paraId="233DB1F7" w14:textId="77777777" w:rsidTr="26586EB5">
        <w:tc>
          <w:tcPr>
            <w:tcW w:w="1075" w:type="dxa"/>
          </w:tcPr>
          <w:p w14:paraId="07E3257A" w14:textId="4AC8B61A" w:rsidR="00C37F4D" w:rsidRPr="00893CFC" w:rsidRDefault="00581AA9" w:rsidP="00684059">
            <w:pPr>
              <w:rPr>
                <w:rFonts w:ascii="Calibri" w:eastAsia="Calibri" w:hAnsi="Calibri" w:cs="Calibri"/>
              </w:rPr>
            </w:pPr>
            <w:r w:rsidRPr="00893CFC">
              <w:rPr>
                <w:rFonts w:ascii="Calibri" w:eastAsia="Calibri" w:hAnsi="Calibri" w:cs="Calibri"/>
              </w:rPr>
              <w:t>3.10</w:t>
            </w:r>
          </w:p>
        </w:tc>
        <w:tc>
          <w:tcPr>
            <w:tcW w:w="3510" w:type="dxa"/>
          </w:tcPr>
          <w:p w14:paraId="3021709E" w14:textId="3287E111" w:rsidR="00C37F4D" w:rsidRPr="00893CFC" w:rsidRDefault="004839BA" w:rsidP="00684059">
            <w:pPr>
              <w:rPr>
                <w:rFonts w:ascii="Calibri" w:hAnsi="Calibri" w:cs="Calibri"/>
                <w:color w:val="000000"/>
              </w:rPr>
            </w:pPr>
            <w:r w:rsidRPr="00893CFC">
              <w:rPr>
                <w:rFonts w:ascii="Calibri" w:hAnsi="Calibri" w:cs="Calibri"/>
                <w:color w:val="000000"/>
              </w:rPr>
              <w:t>Routinely measures telephone answering rates, call abandonment rates, and timeliness of appointments and referrals</w:t>
            </w:r>
            <w:r w:rsidR="00DA239B" w:rsidRPr="00893CFC">
              <w:rPr>
                <w:rFonts w:ascii="Calibri" w:hAnsi="Calibri" w:cs="Calibri"/>
                <w:color w:val="000000"/>
              </w:rPr>
              <w:t>.</w:t>
            </w:r>
          </w:p>
        </w:tc>
        <w:tc>
          <w:tcPr>
            <w:tcW w:w="1620" w:type="dxa"/>
          </w:tcPr>
          <w:p w14:paraId="7D2082BC" w14:textId="77777777" w:rsidR="00037BF5" w:rsidRPr="00893CFC" w:rsidRDefault="00037BF5" w:rsidP="00037BF5">
            <w:pPr>
              <w:rPr>
                <w:rFonts w:ascii="Calibri" w:eastAsia="Calibri" w:hAnsi="Calibri" w:cs="Calibri"/>
              </w:rPr>
            </w:pPr>
            <w:r w:rsidRPr="00893CFC">
              <w:rPr>
                <w:rFonts w:ascii="Calibri" w:eastAsia="Calibri" w:hAnsi="Calibri" w:cs="Calibri"/>
              </w:rPr>
              <w:t xml:space="preserve">42 CFR §438.206; </w:t>
            </w:r>
          </w:p>
          <w:p w14:paraId="63444F1F" w14:textId="77777777" w:rsidR="00037BF5" w:rsidRPr="00893CFC" w:rsidRDefault="00037BF5" w:rsidP="00037BF5">
            <w:pPr>
              <w:rPr>
                <w:rFonts w:ascii="Calibri" w:eastAsia="Calibri" w:hAnsi="Calibri" w:cs="Calibri"/>
              </w:rPr>
            </w:pPr>
          </w:p>
          <w:p w14:paraId="0DEA3930" w14:textId="3C83E558" w:rsidR="00C37F4D" w:rsidRPr="00893CFC" w:rsidRDefault="00037BF5" w:rsidP="00037BF5">
            <w:pPr>
              <w:rPr>
                <w:rFonts w:ascii="Calibri" w:eastAsia="Calibri" w:hAnsi="Calibri" w:cs="Calibri"/>
              </w:rPr>
            </w:pPr>
            <w:r w:rsidRPr="00893CFC">
              <w:rPr>
                <w:rFonts w:ascii="Calibri" w:eastAsia="Calibri" w:hAnsi="Calibri" w:cs="Calibri"/>
              </w:rPr>
              <w:t>MDHHS Access Requirements</w:t>
            </w:r>
          </w:p>
        </w:tc>
        <w:tc>
          <w:tcPr>
            <w:tcW w:w="2790" w:type="dxa"/>
          </w:tcPr>
          <w:p w14:paraId="4198B09C" w14:textId="35B53377" w:rsidR="00C50428" w:rsidRPr="00893CFC" w:rsidRDefault="00C50428" w:rsidP="00C50428">
            <w:pPr>
              <w:rPr>
                <w:rFonts w:ascii="Calibri" w:eastAsia="Calibri" w:hAnsi="Calibri" w:cs="Calibri"/>
              </w:rPr>
            </w:pPr>
            <w:r w:rsidRPr="00893CFC">
              <w:rPr>
                <w:rFonts w:ascii="Calibri" w:eastAsia="Calibri" w:hAnsi="Calibri" w:cs="Calibri"/>
              </w:rPr>
              <w:t>Policies and procedures</w:t>
            </w:r>
          </w:p>
          <w:p w14:paraId="7F4C828A" w14:textId="77777777" w:rsidR="00C50428" w:rsidRPr="00893CFC" w:rsidRDefault="00C50428" w:rsidP="00C50428">
            <w:pPr>
              <w:rPr>
                <w:rFonts w:ascii="Calibri" w:eastAsia="Calibri" w:hAnsi="Calibri" w:cs="Calibri"/>
              </w:rPr>
            </w:pPr>
          </w:p>
          <w:p w14:paraId="19BC33F4" w14:textId="62500755" w:rsidR="00C50428" w:rsidRPr="00893CFC" w:rsidRDefault="00C50428" w:rsidP="00C50428">
            <w:pPr>
              <w:rPr>
                <w:rFonts w:ascii="Calibri" w:eastAsia="Calibri" w:hAnsi="Calibri" w:cs="Calibri"/>
              </w:rPr>
            </w:pPr>
            <w:r w:rsidRPr="00893CFC">
              <w:rPr>
                <w:rFonts w:ascii="Calibri" w:eastAsia="Calibri" w:hAnsi="Calibri" w:cs="Calibri"/>
              </w:rPr>
              <w:t xml:space="preserve">Results of Access System monitoring </w:t>
            </w:r>
          </w:p>
          <w:p w14:paraId="431C4EF3" w14:textId="77777777" w:rsidR="00C50428" w:rsidRPr="00893CFC" w:rsidRDefault="00C50428" w:rsidP="00C50428">
            <w:pPr>
              <w:rPr>
                <w:rFonts w:ascii="Calibri" w:eastAsia="Calibri" w:hAnsi="Calibri" w:cs="Calibri"/>
              </w:rPr>
            </w:pPr>
          </w:p>
          <w:p w14:paraId="6DA0AD78" w14:textId="14CA237B" w:rsidR="00C37F4D" w:rsidRPr="00893CFC" w:rsidRDefault="00C50428" w:rsidP="00C50428">
            <w:pPr>
              <w:rPr>
                <w:rFonts w:ascii="Calibri" w:eastAsia="Calibri" w:hAnsi="Calibri" w:cs="Calibri"/>
              </w:rPr>
            </w:pPr>
            <w:r w:rsidRPr="00893CFC">
              <w:rPr>
                <w:rFonts w:ascii="Calibri" w:eastAsia="Calibri" w:hAnsi="Calibri" w:cs="Calibri"/>
              </w:rPr>
              <w:t>Timeliness reports</w:t>
            </w:r>
          </w:p>
        </w:tc>
        <w:tc>
          <w:tcPr>
            <w:tcW w:w="1980" w:type="dxa"/>
          </w:tcPr>
          <w:p w14:paraId="482BB5ED" w14:textId="29BFCF32" w:rsidR="00C37F4D" w:rsidRPr="00893CFC" w:rsidRDefault="00C37F4D" w:rsidP="00684059">
            <w:pPr>
              <w:rPr>
                <w:rFonts w:ascii="Calibri" w:hAnsi="Calibri" w:cs="Calibri"/>
              </w:rPr>
            </w:pPr>
          </w:p>
        </w:tc>
        <w:tc>
          <w:tcPr>
            <w:tcW w:w="3510" w:type="dxa"/>
          </w:tcPr>
          <w:p w14:paraId="4FEF1D23" w14:textId="6AE25FB8" w:rsidR="00C37F4D" w:rsidRPr="00893CFC" w:rsidRDefault="00C37F4D" w:rsidP="00684059">
            <w:pPr>
              <w:rPr>
                <w:rFonts w:ascii="Calibri" w:hAnsi="Calibri" w:cs="Calibri"/>
              </w:rPr>
            </w:pPr>
          </w:p>
        </w:tc>
      </w:tr>
      <w:tr w:rsidR="00DA116B" w:rsidRPr="00893CFC" w14:paraId="4CA29024" w14:textId="77777777" w:rsidTr="26586EB5">
        <w:tc>
          <w:tcPr>
            <w:tcW w:w="14485" w:type="dxa"/>
            <w:gridSpan w:val="6"/>
          </w:tcPr>
          <w:p w14:paraId="5C308671" w14:textId="50D08746" w:rsidR="00DA116B" w:rsidRPr="00893CFC" w:rsidRDefault="00BD0C37" w:rsidP="00684059">
            <w:pPr>
              <w:tabs>
                <w:tab w:val="left" w:pos="2205"/>
                <w:tab w:val="left" w:pos="2475"/>
              </w:tabs>
              <w:rPr>
                <w:rFonts w:ascii="Calibri" w:hAnsi="Calibri" w:cs="Calibri"/>
              </w:rPr>
            </w:pPr>
            <w:r w:rsidRPr="00893CFC">
              <w:rPr>
                <w:rFonts w:ascii="Calibri" w:eastAsia="Calibri" w:hAnsi="Calibri" w:cs="Calibri"/>
                <w:b/>
                <w:bCs/>
              </w:rPr>
              <w:t xml:space="preserve">Access and Cultural Considerations </w:t>
            </w:r>
            <w:r w:rsidR="00A5616E" w:rsidRPr="00893CFC">
              <w:rPr>
                <w:rFonts w:ascii="Calibri" w:eastAsia="Calibri" w:hAnsi="Calibri" w:cs="Calibri"/>
                <w:b/>
                <w:bCs/>
              </w:rPr>
              <w:tab/>
            </w:r>
          </w:p>
        </w:tc>
      </w:tr>
      <w:tr w:rsidR="009707C0" w:rsidRPr="00893CFC" w14:paraId="527A3E6B" w14:textId="77777777" w:rsidTr="26586EB5">
        <w:tc>
          <w:tcPr>
            <w:tcW w:w="1075" w:type="dxa"/>
          </w:tcPr>
          <w:p w14:paraId="13808EEC" w14:textId="0029EC32" w:rsidR="009707C0" w:rsidRPr="00893CFC" w:rsidRDefault="006975D2" w:rsidP="00684059">
            <w:pPr>
              <w:rPr>
                <w:rFonts w:ascii="Calibri" w:hAnsi="Calibri" w:cs="Calibri"/>
                <w:bCs/>
              </w:rPr>
            </w:pPr>
            <w:r w:rsidRPr="00893CFC">
              <w:rPr>
                <w:rFonts w:ascii="Calibri" w:hAnsi="Calibri" w:cs="Calibri"/>
                <w:bCs/>
              </w:rPr>
              <w:t>3.1</w:t>
            </w:r>
            <w:r w:rsidR="00BD0C37" w:rsidRPr="00893CFC">
              <w:rPr>
                <w:rFonts w:ascii="Calibri" w:hAnsi="Calibri" w:cs="Calibri"/>
                <w:bCs/>
              </w:rPr>
              <w:t>1</w:t>
            </w:r>
          </w:p>
        </w:tc>
        <w:tc>
          <w:tcPr>
            <w:tcW w:w="3510" w:type="dxa"/>
          </w:tcPr>
          <w:p w14:paraId="55EC7126" w14:textId="77777777" w:rsidR="00221C27" w:rsidRPr="00893CFC" w:rsidRDefault="00221C27" w:rsidP="00221C27">
            <w:pPr>
              <w:tabs>
                <w:tab w:val="left" w:pos="432"/>
              </w:tabs>
              <w:rPr>
                <w:rFonts w:ascii="Calibri" w:eastAsia="Calibri" w:hAnsi="Calibri" w:cs="Calibri"/>
              </w:rPr>
            </w:pPr>
            <w:r w:rsidRPr="00893CFC">
              <w:rPr>
                <w:rFonts w:ascii="Calibri" w:eastAsia="Calibri" w:hAnsi="Calibri" w:cs="Calibri"/>
              </w:rPr>
              <w:t xml:space="preserve">The supports and services provided by Member (both directly and through contracted providers) must demonstrate an ongoing commitment to linguistic and cultural competence that ensures access and meaningful </w:t>
            </w:r>
            <w:r w:rsidRPr="00893CFC">
              <w:rPr>
                <w:rFonts w:ascii="Calibri" w:eastAsia="Calibri" w:hAnsi="Calibri" w:cs="Calibri"/>
              </w:rPr>
              <w:lastRenderedPageBreak/>
              <w:t xml:space="preserve">participation for all people in the service area. </w:t>
            </w:r>
          </w:p>
          <w:p w14:paraId="1E6193F0" w14:textId="77777777" w:rsidR="00221C27" w:rsidRPr="00893CFC" w:rsidRDefault="00221C27" w:rsidP="00221C27">
            <w:pPr>
              <w:tabs>
                <w:tab w:val="left" w:pos="432"/>
              </w:tabs>
              <w:rPr>
                <w:rFonts w:ascii="Calibri" w:eastAsia="Calibri" w:hAnsi="Calibri" w:cs="Calibri"/>
              </w:rPr>
            </w:pPr>
          </w:p>
          <w:p w14:paraId="77089E30" w14:textId="6ABDAD52" w:rsidR="009707C0" w:rsidRPr="00893CFC" w:rsidRDefault="00221C27" w:rsidP="00221C27">
            <w:pPr>
              <w:rPr>
                <w:rFonts w:ascii="Calibri" w:hAnsi="Calibri" w:cs="Calibri"/>
                <w:b/>
                <w:bCs/>
                <w:color w:val="000000"/>
                <w:u w:val="single"/>
              </w:rPr>
            </w:pPr>
            <w:r w:rsidRPr="00893CFC">
              <w:rPr>
                <w:rFonts w:ascii="Calibri" w:eastAsia="Calibri" w:hAnsi="Calibri" w:cs="Calibri"/>
              </w:rPr>
              <w:t>Services are delivered in a culturally competent manner to all enrollees, including those with limited English proficiency and diverse cultural and ethnic backgrounds, disabilities, and regardless of sex.</w:t>
            </w:r>
          </w:p>
        </w:tc>
        <w:tc>
          <w:tcPr>
            <w:tcW w:w="1620" w:type="dxa"/>
          </w:tcPr>
          <w:p w14:paraId="1FABEF21" w14:textId="073FD6C3" w:rsidR="00812BBD" w:rsidRPr="00893CFC" w:rsidRDefault="00812BBD" w:rsidP="00812BBD">
            <w:pPr>
              <w:rPr>
                <w:rFonts w:ascii="Calibri" w:eastAsia="Calibri" w:hAnsi="Calibri" w:cs="Calibri"/>
              </w:rPr>
            </w:pPr>
            <w:r w:rsidRPr="00893CFC">
              <w:rPr>
                <w:rFonts w:ascii="Calibri" w:eastAsia="Calibri" w:hAnsi="Calibri" w:cs="Calibri"/>
              </w:rPr>
              <w:lastRenderedPageBreak/>
              <w:t>42 CFR 438.206</w:t>
            </w:r>
          </w:p>
          <w:p w14:paraId="2E1F9B1C" w14:textId="77777777" w:rsidR="00FE4374" w:rsidRPr="00893CFC" w:rsidRDefault="00FE4374" w:rsidP="00812BBD">
            <w:pPr>
              <w:rPr>
                <w:rFonts w:ascii="Calibri" w:eastAsia="Calibri" w:hAnsi="Calibri" w:cs="Calibri"/>
              </w:rPr>
            </w:pPr>
          </w:p>
          <w:p w14:paraId="20A9898E" w14:textId="22018B0C" w:rsidR="009707C0" w:rsidRPr="00893CFC" w:rsidRDefault="00812BBD" w:rsidP="00812BBD">
            <w:pPr>
              <w:rPr>
                <w:rFonts w:ascii="Calibri" w:eastAsia="Calibri" w:hAnsi="Calibri" w:cs="Calibri"/>
              </w:rPr>
            </w:pPr>
            <w:r w:rsidRPr="00893CFC">
              <w:rPr>
                <w:rFonts w:ascii="Calibri" w:eastAsia="Calibri" w:hAnsi="Calibri" w:cs="Calibri"/>
              </w:rPr>
              <w:t>CMHSP/PIHP Contract</w:t>
            </w:r>
          </w:p>
        </w:tc>
        <w:tc>
          <w:tcPr>
            <w:tcW w:w="2790" w:type="dxa"/>
          </w:tcPr>
          <w:p w14:paraId="3BA34846" w14:textId="78447089" w:rsidR="000A566E" w:rsidRPr="00893CFC" w:rsidRDefault="000A566E" w:rsidP="000A566E">
            <w:pPr>
              <w:rPr>
                <w:rFonts w:ascii="Calibri" w:eastAsia="Calibri" w:hAnsi="Calibri" w:cs="Calibri"/>
              </w:rPr>
            </w:pPr>
            <w:r w:rsidRPr="00893CFC">
              <w:rPr>
                <w:rFonts w:ascii="Calibri" w:eastAsia="Calibri" w:hAnsi="Calibri" w:cs="Calibri"/>
              </w:rPr>
              <w:t>Policy/procedure</w:t>
            </w:r>
          </w:p>
          <w:p w14:paraId="72CDD4AF" w14:textId="77777777" w:rsidR="000A566E" w:rsidRPr="00893CFC" w:rsidRDefault="000A566E" w:rsidP="000A566E">
            <w:pPr>
              <w:rPr>
                <w:rFonts w:ascii="Calibri" w:eastAsia="Calibri" w:hAnsi="Calibri" w:cs="Calibri"/>
              </w:rPr>
            </w:pPr>
          </w:p>
          <w:p w14:paraId="02186785" w14:textId="17B5BD4B" w:rsidR="000A566E" w:rsidRPr="00893CFC" w:rsidRDefault="000A566E" w:rsidP="000A566E">
            <w:pPr>
              <w:rPr>
                <w:rFonts w:ascii="Calibri" w:eastAsia="Calibri" w:hAnsi="Calibri" w:cs="Calibri"/>
              </w:rPr>
            </w:pPr>
            <w:r w:rsidRPr="00893CFC">
              <w:rPr>
                <w:rFonts w:ascii="Calibri" w:eastAsia="Calibri" w:hAnsi="Calibri" w:cs="Calibri"/>
              </w:rPr>
              <w:t>Community Assessment/Cultural Competency Plan</w:t>
            </w:r>
          </w:p>
          <w:p w14:paraId="548126C9" w14:textId="77777777" w:rsidR="000A566E" w:rsidRPr="00893CFC" w:rsidRDefault="000A566E" w:rsidP="000A566E">
            <w:pPr>
              <w:rPr>
                <w:rFonts w:ascii="Calibri" w:eastAsia="Calibri" w:hAnsi="Calibri" w:cs="Calibri"/>
              </w:rPr>
            </w:pPr>
          </w:p>
          <w:p w14:paraId="230ED8A4" w14:textId="762A6C14" w:rsidR="009707C0" w:rsidRPr="00893CFC" w:rsidRDefault="000A566E" w:rsidP="000A566E">
            <w:pPr>
              <w:rPr>
                <w:rFonts w:ascii="Calibri" w:eastAsia="Calibri" w:hAnsi="Calibri" w:cs="Calibri"/>
              </w:rPr>
            </w:pPr>
            <w:r w:rsidRPr="00893CFC">
              <w:rPr>
                <w:rFonts w:ascii="Calibri" w:eastAsia="Calibri" w:hAnsi="Calibri" w:cs="Calibri"/>
              </w:rPr>
              <w:lastRenderedPageBreak/>
              <w:t>Service Assessment and Monitoring</w:t>
            </w:r>
          </w:p>
        </w:tc>
        <w:tc>
          <w:tcPr>
            <w:tcW w:w="1980" w:type="dxa"/>
          </w:tcPr>
          <w:p w14:paraId="0B99CD12" w14:textId="79B9E008" w:rsidR="009707C0" w:rsidRPr="00893CFC" w:rsidRDefault="009707C0" w:rsidP="00684059">
            <w:pPr>
              <w:rPr>
                <w:rFonts w:ascii="Calibri" w:hAnsi="Calibri" w:cs="Calibri"/>
              </w:rPr>
            </w:pPr>
          </w:p>
        </w:tc>
        <w:tc>
          <w:tcPr>
            <w:tcW w:w="3510" w:type="dxa"/>
          </w:tcPr>
          <w:p w14:paraId="265CD593" w14:textId="76AC734F" w:rsidR="009707C0" w:rsidRPr="00893CFC" w:rsidRDefault="009707C0" w:rsidP="00684059">
            <w:pPr>
              <w:rPr>
                <w:rFonts w:ascii="Calibri" w:hAnsi="Calibri" w:cs="Calibri"/>
              </w:rPr>
            </w:pPr>
          </w:p>
        </w:tc>
      </w:tr>
      <w:tr w:rsidR="0047259D" w:rsidRPr="00893CFC" w14:paraId="3B9897C4" w14:textId="77777777" w:rsidTr="00E70669">
        <w:tc>
          <w:tcPr>
            <w:tcW w:w="14485" w:type="dxa"/>
            <w:gridSpan w:val="6"/>
          </w:tcPr>
          <w:p w14:paraId="0B75A71C" w14:textId="12F5B1A3" w:rsidR="0047259D" w:rsidRPr="00893CFC" w:rsidRDefault="0047259D" w:rsidP="00684059">
            <w:pPr>
              <w:rPr>
                <w:rFonts w:ascii="Calibri" w:hAnsi="Calibri" w:cs="Calibri"/>
                <w:b/>
                <w:bCs/>
              </w:rPr>
            </w:pPr>
            <w:r w:rsidRPr="00893CFC">
              <w:rPr>
                <w:rFonts w:ascii="Calibri" w:hAnsi="Calibri" w:cs="Calibri"/>
                <w:b/>
                <w:bCs/>
              </w:rPr>
              <w:t>Assurances of Adequate Capacity and Services</w:t>
            </w:r>
            <w:r w:rsidR="00BD6666" w:rsidRPr="00893CFC">
              <w:rPr>
                <w:rFonts w:ascii="Calibri" w:hAnsi="Calibri" w:cs="Calibri"/>
                <w:b/>
                <w:bCs/>
              </w:rPr>
              <w:t xml:space="preserve"> </w:t>
            </w:r>
          </w:p>
        </w:tc>
      </w:tr>
      <w:tr w:rsidR="0047259D" w:rsidRPr="00893CFC" w14:paraId="26A232EF" w14:textId="77777777" w:rsidTr="26586EB5">
        <w:tc>
          <w:tcPr>
            <w:tcW w:w="1075" w:type="dxa"/>
          </w:tcPr>
          <w:p w14:paraId="7275447F" w14:textId="19378767" w:rsidR="0047259D" w:rsidRPr="00893CFC" w:rsidRDefault="00463044" w:rsidP="00684059">
            <w:pPr>
              <w:rPr>
                <w:rFonts w:ascii="Calibri" w:hAnsi="Calibri" w:cs="Calibri"/>
                <w:bCs/>
              </w:rPr>
            </w:pPr>
            <w:r w:rsidRPr="00893CFC">
              <w:rPr>
                <w:rFonts w:ascii="Calibri" w:hAnsi="Calibri" w:cs="Calibri"/>
                <w:bCs/>
              </w:rPr>
              <w:t>3.12</w:t>
            </w:r>
          </w:p>
        </w:tc>
        <w:tc>
          <w:tcPr>
            <w:tcW w:w="3510" w:type="dxa"/>
          </w:tcPr>
          <w:p w14:paraId="4ED4F187" w14:textId="77777777" w:rsidR="0047259D" w:rsidRPr="00893CFC" w:rsidRDefault="0047259D" w:rsidP="0047259D">
            <w:pPr>
              <w:tabs>
                <w:tab w:val="left" w:pos="432"/>
              </w:tabs>
              <w:rPr>
                <w:rFonts w:ascii="Calibri" w:eastAsia="Calibri" w:hAnsi="Calibri" w:cs="Calibri"/>
              </w:rPr>
            </w:pPr>
            <w:r w:rsidRPr="00893CFC">
              <w:rPr>
                <w:rFonts w:ascii="Calibri" w:eastAsia="Calibri" w:hAnsi="Calibri" w:cs="Calibri"/>
              </w:rPr>
              <w:t xml:space="preserve">Each CMHSP must offer an appropriate range of services that is adequate for the anticipated number of enrollees for the service area. </w:t>
            </w:r>
          </w:p>
          <w:p w14:paraId="5A42B0B7" w14:textId="77777777" w:rsidR="0047259D" w:rsidRPr="00893CFC" w:rsidRDefault="0047259D" w:rsidP="0047259D">
            <w:pPr>
              <w:tabs>
                <w:tab w:val="left" w:pos="432"/>
              </w:tabs>
              <w:rPr>
                <w:rFonts w:ascii="Calibri" w:eastAsia="Calibri" w:hAnsi="Calibri" w:cs="Calibri"/>
              </w:rPr>
            </w:pPr>
          </w:p>
          <w:p w14:paraId="4B82532B" w14:textId="77777777" w:rsidR="0047259D" w:rsidRPr="00893CFC" w:rsidRDefault="0047259D" w:rsidP="0047259D">
            <w:pPr>
              <w:tabs>
                <w:tab w:val="left" w:pos="432"/>
              </w:tabs>
              <w:rPr>
                <w:rFonts w:ascii="Calibri" w:eastAsia="Calibri" w:hAnsi="Calibri" w:cs="Calibri"/>
              </w:rPr>
            </w:pPr>
            <w:r w:rsidRPr="00893CFC">
              <w:rPr>
                <w:rFonts w:ascii="Calibri" w:eastAsia="Calibri" w:hAnsi="Calibri" w:cs="Calibri"/>
              </w:rPr>
              <w:t>Each CMHSP must maintain a network of providers that is sufficient in number, mix, and geographic distribution to meet the needs of the anticipated number of enrollees in the service area.</w:t>
            </w:r>
          </w:p>
          <w:p w14:paraId="61BD67AB" w14:textId="77777777" w:rsidR="0047259D" w:rsidRPr="00893CFC" w:rsidRDefault="0047259D" w:rsidP="0047259D">
            <w:pPr>
              <w:tabs>
                <w:tab w:val="left" w:pos="432"/>
              </w:tabs>
              <w:rPr>
                <w:rFonts w:ascii="Calibri" w:eastAsia="Calibri" w:hAnsi="Calibri" w:cs="Calibri"/>
              </w:rPr>
            </w:pPr>
          </w:p>
          <w:p w14:paraId="17D1B406" w14:textId="3A3EFD2A" w:rsidR="0047259D" w:rsidRPr="00893CFC" w:rsidRDefault="0047259D" w:rsidP="0047259D">
            <w:pPr>
              <w:tabs>
                <w:tab w:val="left" w:pos="432"/>
              </w:tabs>
              <w:rPr>
                <w:rFonts w:ascii="Calibri" w:eastAsia="Calibri" w:hAnsi="Calibri" w:cs="Calibri"/>
              </w:rPr>
            </w:pPr>
            <w:r w:rsidRPr="00893CFC">
              <w:rPr>
                <w:rFonts w:ascii="Calibri" w:eastAsia="Calibri" w:hAnsi="Calibri" w:cs="Calibri"/>
              </w:rPr>
              <w:lastRenderedPageBreak/>
              <w:t>Maintaining a provider network, whether through direct-run services or contractual arrangements, in sufficient numbers, mix, and geographic locations throughout its designated service area to meet the needs of Beneficiaries to which it is responsible for the provision of Covered Services. Member must have a process that includes analysis of anticipated enrollment and expected utilization of Covered Services.</w:t>
            </w:r>
          </w:p>
        </w:tc>
        <w:tc>
          <w:tcPr>
            <w:tcW w:w="1620" w:type="dxa"/>
          </w:tcPr>
          <w:p w14:paraId="55758FCE" w14:textId="77777777" w:rsidR="0047259D" w:rsidRPr="00893CFC" w:rsidRDefault="0047259D" w:rsidP="0047259D">
            <w:pPr>
              <w:rPr>
                <w:rFonts w:ascii="Calibri" w:eastAsia="Calibri" w:hAnsi="Calibri" w:cs="Calibri"/>
              </w:rPr>
            </w:pPr>
            <w:r w:rsidRPr="00893CFC">
              <w:rPr>
                <w:rFonts w:ascii="Calibri" w:eastAsia="Calibri" w:hAnsi="Calibri" w:cs="Calibri"/>
              </w:rPr>
              <w:lastRenderedPageBreak/>
              <w:t>42 CFR 438.207</w:t>
            </w:r>
          </w:p>
          <w:p w14:paraId="1A1AA47C" w14:textId="77777777" w:rsidR="0047259D" w:rsidRPr="00893CFC" w:rsidRDefault="0047259D" w:rsidP="0047259D">
            <w:pPr>
              <w:rPr>
                <w:rFonts w:ascii="Calibri" w:eastAsia="Calibri" w:hAnsi="Calibri" w:cs="Calibri"/>
              </w:rPr>
            </w:pPr>
          </w:p>
          <w:p w14:paraId="62F415A1" w14:textId="0B24E9F0" w:rsidR="0047259D" w:rsidRPr="00893CFC" w:rsidRDefault="0047259D" w:rsidP="0047259D">
            <w:pPr>
              <w:rPr>
                <w:rFonts w:ascii="Calibri" w:eastAsia="Calibri" w:hAnsi="Calibri" w:cs="Calibri"/>
              </w:rPr>
            </w:pPr>
            <w:r w:rsidRPr="00893CFC">
              <w:rPr>
                <w:rFonts w:ascii="Calibri" w:eastAsia="Calibri" w:hAnsi="Calibri" w:cs="Calibri"/>
              </w:rPr>
              <w:t>CMHSP Contract – Delegation Grid</w:t>
            </w:r>
          </w:p>
        </w:tc>
        <w:tc>
          <w:tcPr>
            <w:tcW w:w="2790" w:type="dxa"/>
          </w:tcPr>
          <w:p w14:paraId="48EEBE52" w14:textId="6B9C067F" w:rsidR="0047259D" w:rsidRPr="00893CFC" w:rsidRDefault="0047259D" w:rsidP="000A566E">
            <w:pPr>
              <w:rPr>
                <w:rFonts w:ascii="Calibri" w:eastAsia="Calibri" w:hAnsi="Calibri" w:cs="Calibri"/>
              </w:rPr>
            </w:pPr>
            <w:r w:rsidRPr="00893CFC">
              <w:rPr>
                <w:rFonts w:ascii="Calibri" w:eastAsia="Calibri" w:hAnsi="Calibri" w:cs="Calibri"/>
              </w:rPr>
              <w:t>Policy/Procedure</w:t>
            </w:r>
          </w:p>
        </w:tc>
        <w:tc>
          <w:tcPr>
            <w:tcW w:w="1980" w:type="dxa"/>
          </w:tcPr>
          <w:p w14:paraId="0A081ACC" w14:textId="77777777" w:rsidR="0047259D" w:rsidRPr="00893CFC" w:rsidRDefault="0047259D" w:rsidP="00684059">
            <w:pPr>
              <w:rPr>
                <w:rFonts w:ascii="Calibri" w:hAnsi="Calibri" w:cs="Calibri"/>
              </w:rPr>
            </w:pPr>
          </w:p>
        </w:tc>
        <w:tc>
          <w:tcPr>
            <w:tcW w:w="3510" w:type="dxa"/>
          </w:tcPr>
          <w:p w14:paraId="73F8B0C4" w14:textId="04B0F00C" w:rsidR="0047259D" w:rsidRPr="00893CFC" w:rsidRDefault="0047259D" w:rsidP="00684059">
            <w:pPr>
              <w:rPr>
                <w:rFonts w:ascii="Calibri" w:hAnsi="Calibri" w:cs="Calibri"/>
              </w:rPr>
            </w:pPr>
          </w:p>
        </w:tc>
      </w:tr>
      <w:tr w:rsidR="0047259D" w:rsidRPr="00893CFC" w14:paraId="0D40061C" w14:textId="77777777" w:rsidTr="005B5054">
        <w:tc>
          <w:tcPr>
            <w:tcW w:w="14485" w:type="dxa"/>
            <w:gridSpan w:val="6"/>
          </w:tcPr>
          <w:p w14:paraId="34CF3C10" w14:textId="4B823DFA" w:rsidR="0047259D" w:rsidRPr="00893CFC" w:rsidRDefault="0047259D" w:rsidP="00684059">
            <w:pPr>
              <w:rPr>
                <w:rFonts w:ascii="Calibri" w:hAnsi="Calibri" w:cs="Calibri"/>
                <w:b/>
                <w:bCs/>
              </w:rPr>
            </w:pPr>
            <w:r w:rsidRPr="00893CFC">
              <w:rPr>
                <w:rFonts w:ascii="Calibri" w:hAnsi="Calibri" w:cs="Calibri"/>
                <w:b/>
                <w:bCs/>
              </w:rPr>
              <w:t>Changes in Provider Network</w:t>
            </w:r>
            <w:r w:rsidR="00306A9F" w:rsidRPr="00893CFC">
              <w:rPr>
                <w:rFonts w:ascii="Calibri" w:hAnsi="Calibri" w:cs="Calibri"/>
                <w:b/>
                <w:bCs/>
              </w:rPr>
              <w:t xml:space="preserve"> </w:t>
            </w:r>
          </w:p>
        </w:tc>
      </w:tr>
      <w:tr w:rsidR="0047259D" w:rsidRPr="00893CFC" w14:paraId="74FDFC20" w14:textId="77777777" w:rsidTr="26586EB5">
        <w:tc>
          <w:tcPr>
            <w:tcW w:w="1075" w:type="dxa"/>
          </w:tcPr>
          <w:p w14:paraId="1A62862B" w14:textId="0D807E17" w:rsidR="0047259D" w:rsidRPr="00893CFC" w:rsidRDefault="00463044" w:rsidP="00684059">
            <w:pPr>
              <w:rPr>
                <w:rFonts w:ascii="Calibri" w:hAnsi="Calibri" w:cs="Calibri"/>
                <w:bCs/>
              </w:rPr>
            </w:pPr>
            <w:r w:rsidRPr="00893CFC">
              <w:rPr>
                <w:rFonts w:ascii="Calibri" w:hAnsi="Calibri" w:cs="Calibri"/>
                <w:bCs/>
              </w:rPr>
              <w:t>3.13</w:t>
            </w:r>
          </w:p>
        </w:tc>
        <w:tc>
          <w:tcPr>
            <w:tcW w:w="3510" w:type="dxa"/>
          </w:tcPr>
          <w:p w14:paraId="50C1D651" w14:textId="315716D5" w:rsidR="0047259D" w:rsidRPr="00893CFC" w:rsidRDefault="00463044" w:rsidP="00221C27">
            <w:pPr>
              <w:tabs>
                <w:tab w:val="left" w:pos="432"/>
              </w:tabs>
              <w:rPr>
                <w:rFonts w:ascii="Calibri" w:eastAsia="Calibri" w:hAnsi="Calibri" w:cs="Calibri"/>
              </w:rPr>
            </w:pPr>
            <w:r w:rsidRPr="00893CFC">
              <w:rPr>
                <w:rFonts w:ascii="Calibri" w:eastAsia="Calibri" w:hAnsi="Calibri" w:cs="Calibri"/>
              </w:rPr>
              <w:t>Member must have policies and/or procedures to address changes in its network that negatively affect access to care.</w:t>
            </w:r>
          </w:p>
        </w:tc>
        <w:tc>
          <w:tcPr>
            <w:tcW w:w="1620" w:type="dxa"/>
          </w:tcPr>
          <w:p w14:paraId="64D70123" w14:textId="77777777" w:rsidR="00463044" w:rsidRPr="00893CFC" w:rsidRDefault="00463044" w:rsidP="00463044">
            <w:pPr>
              <w:rPr>
                <w:rFonts w:ascii="Calibri" w:eastAsia="Calibri" w:hAnsi="Calibri" w:cs="Calibri"/>
              </w:rPr>
            </w:pPr>
            <w:r w:rsidRPr="00893CFC">
              <w:rPr>
                <w:rFonts w:ascii="Calibri" w:eastAsia="Calibri" w:hAnsi="Calibri" w:cs="Calibri"/>
              </w:rPr>
              <w:t>42 CFR 438.207</w:t>
            </w:r>
          </w:p>
          <w:p w14:paraId="27538105" w14:textId="77777777" w:rsidR="00463044" w:rsidRPr="00893CFC" w:rsidRDefault="00463044" w:rsidP="00463044">
            <w:pPr>
              <w:rPr>
                <w:rFonts w:ascii="Calibri" w:eastAsia="Calibri" w:hAnsi="Calibri" w:cs="Calibri"/>
              </w:rPr>
            </w:pPr>
          </w:p>
          <w:p w14:paraId="3747D232" w14:textId="49896678" w:rsidR="0047259D" w:rsidRPr="00893CFC" w:rsidRDefault="00463044" w:rsidP="00463044">
            <w:pPr>
              <w:rPr>
                <w:rFonts w:ascii="Calibri" w:eastAsia="Calibri" w:hAnsi="Calibri" w:cs="Calibri"/>
              </w:rPr>
            </w:pPr>
            <w:r w:rsidRPr="00893CFC">
              <w:rPr>
                <w:rFonts w:ascii="Calibri" w:eastAsia="Calibri" w:hAnsi="Calibri" w:cs="Calibri"/>
              </w:rPr>
              <w:t>CMHSP Contract</w:t>
            </w:r>
          </w:p>
        </w:tc>
        <w:tc>
          <w:tcPr>
            <w:tcW w:w="2790" w:type="dxa"/>
          </w:tcPr>
          <w:p w14:paraId="39426C50" w14:textId="77777777" w:rsidR="00463044" w:rsidRPr="00893CFC" w:rsidRDefault="00463044" w:rsidP="00463044">
            <w:pPr>
              <w:rPr>
                <w:rFonts w:ascii="Calibri" w:eastAsia="Calibri" w:hAnsi="Calibri" w:cs="Calibri"/>
              </w:rPr>
            </w:pPr>
            <w:r w:rsidRPr="00893CFC">
              <w:rPr>
                <w:rFonts w:ascii="Calibri" w:eastAsia="Calibri" w:hAnsi="Calibri" w:cs="Calibri"/>
              </w:rPr>
              <w:t>Policy/Procedure</w:t>
            </w:r>
          </w:p>
          <w:p w14:paraId="595789CD" w14:textId="77777777" w:rsidR="0047259D" w:rsidRPr="00893CFC" w:rsidRDefault="0047259D" w:rsidP="000A566E">
            <w:pPr>
              <w:rPr>
                <w:rFonts w:ascii="Calibri" w:eastAsia="Calibri" w:hAnsi="Calibri" w:cs="Calibri"/>
              </w:rPr>
            </w:pPr>
          </w:p>
        </w:tc>
        <w:tc>
          <w:tcPr>
            <w:tcW w:w="1980" w:type="dxa"/>
          </w:tcPr>
          <w:p w14:paraId="0E4E5BD0" w14:textId="77777777" w:rsidR="0047259D" w:rsidRPr="00893CFC" w:rsidRDefault="0047259D" w:rsidP="00684059">
            <w:pPr>
              <w:rPr>
                <w:rFonts w:ascii="Calibri" w:hAnsi="Calibri" w:cs="Calibri"/>
              </w:rPr>
            </w:pPr>
          </w:p>
        </w:tc>
        <w:tc>
          <w:tcPr>
            <w:tcW w:w="3510" w:type="dxa"/>
          </w:tcPr>
          <w:p w14:paraId="6F24E1F9" w14:textId="65B24FEC" w:rsidR="0047259D" w:rsidRPr="00893CFC" w:rsidRDefault="0047259D" w:rsidP="00684059">
            <w:pPr>
              <w:rPr>
                <w:rFonts w:ascii="Calibri" w:hAnsi="Calibri" w:cs="Calibri"/>
              </w:rPr>
            </w:pPr>
          </w:p>
        </w:tc>
      </w:tr>
      <w:tr w:rsidR="0047259D" w:rsidRPr="00893CFC" w14:paraId="68015C04" w14:textId="77777777" w:rsidTr="26586EB5">
        <w:tc>
          <w:tcPr>
            <w:tcW w:w="1075" w:type="dxa"/>
          </w:tcPr>
          <w:p w14:paraId="65A56652" w14:textId="5E49DB17" w:rsidR="0047259D" w:rsidRPr="00893CFC" w:rsidRDefault="00463044" w:rsidP="00684059">
            <w:pPr>
              <w:rPr>
                <w:rFonts w:ascii="Calibri" w:hAnsi="Calibri" w:cs="Calibri"/>
                <w:bCs/>
              </w:rPr>
            </w:pPr>
            <w:r w:rsidRPr="00893CFC">
              <w:rPr>
                <w:rFonts w:ascii="Calibri" w:hAnsi="Calibri" w:cs="Calibri"/>
                <w:bCs/>
              </w:rPr>
              <w:t>3.14</w:t>
            </w:r>
          </w:p>
        </w:tc>
        <w:tc>
          <w:tcPr>
            <w:tcW w:w="3510" w:type="dxa"/>
          </w:tcPr>
          <w:p w14:paraId="15535419" w14:textId="794B87CC" w:rsidR="0047259D" w:rsidRPr="00893CFC" w:rsidRDefault="00463044" w:rsidP="00221C27">
            <w:pPr>
              <w:tabs>
                <w:tab w:val="left" w:pos="432"/>
              </w:tabs>
              <w:rPr>
                <w:rFonts w:ascii="Calibri" w:eastAsia="Calibri" w:hAnsi="Calibri" w:cs="Calibri"/>
              </w:rPr>
            </w:pPr>
            <w:r w:rsidRPr="00893CFC">
              <w:rPr>
                <w:rFonts w:ascii="Calibri" w:eastAsia="Calibri" w:hAnsi="Calibri" w:cs="Calibri"/>
              </w:rPr>
              <w:t xml:space="preserve">CMHSP must notify LRE within four (4) days of any changes to the composition of the provider </w:t>
            </w:r>
            <w:r w:rsidRPr="00893CFC">
              <w:rPr>
                <w:rFonts w:ascii="Calibri" w:eastAsia="Calibri" w:hAnsi="Calibri" w:cs="Calibri"/>
              </w:rPr>
              <w:lastRenderedPageBreak/>
              <w:t>network organizations that negatively affect access to care.</w:t>
            </w:r>
          </w:p>
        </w:tc>
        <w:tc>
          <w:tcPr>
            <w:tcW w:w="1620" w:type="dxa"/>
          </w:tcPr>
          <w:p w14:paraId="72A334C5" w14:textId="77777777" w:rsidR="00463044" w:rsidRPr="00893CFC" w:rsidRDefault="00463044" w:rsidP="00463044">
            <w:pPr>
              <w:rPr>
                <w:rFonts w:ascii="Calibri" w:eastAsia="Calibri" w:hAnsi="Calibri" w:cs="Calibri"/>
              </w:rPr>
            </w:pPr>
            <w:r w:rsidRPr="00893CFC">
              <w:rPr>
                <w:rFonts w:ascii="Calibri" w:eastAsia="Calibri" w:hAnsi="Calibri" w:cs="Calibri"/>
              </w:rPr>
              <w:lastRenderedPageBreak/>
              <w:t>42 CFR 438.207</w:t>
            </w:r>
          </w:p>
          <w:p w14:paraId="7A2C5695" w14:textId="77777777" w:rsidR="00463044" w:rsidRPr="00893CFC" w:rsidRDefault="00463044" w:rsidP="00463044">
            <w:pPr>
              <w:rPr>
                <w:rFonts w:ascii="Calibri" w:eastAsia="Calibri" w:hAnsi="Calibri" w:cs="Calibri"/>
              </w:rPr>
            </w:pPr>
          </w:p>
          <w:p w14:paraId="38CE03AC" w14:textId="12029D6C" w:rsidR="0047259D" w:rsidRPr="00893CFC" w:rsidRDefault="00463044" w:rsidP="00463044">
            <w:pPr>
              <w:rPr>
                <w:rFonts w:ascii="Calibri" w:eastAsia="Calibri" w:hAnsi="Calibri" w:cs="Calibri"/>
              </w:rPr>
            </w:pPr>
            <w:r w:rsidRPr="00893CFC">
              <w:rPr>
                <w:rFonts w:ascii="Calibri" w:eastAsia="Calibri" w:hAnsi="Calibri" w:cs="Calibri"/>
              </w:rPr>
              <w:lastRenderedPageBreak/>
              <w:t>CMHSP Contract</w:t>
            </w:r>
          </w:p>
        </w:tc>
        <w:tc>
          <w:tcPr>
            <w:tcW w:w="2790" w:type="dxa"/>
          </w:tcPr>
          <w:p w14:paraId="526FA6FD" w14:textId="0536639C" w:rsidR="0047259D" w:rsidRPr="00893CFC" w:rsidRDefault="00463044" w:rsidP="000A566E">
            <w:pPr>
              <w:rPr>
                <w:rFonts w:ascii="Calibri" w:eastAsia="Calibri" w:hAnsi="Calibri" w:cs="Calibri"/>
              </w:rPr>
            </w:pPr>
            <w:r w:rsidRPr="00893CFC">
              <w:rPr>
                <w:rFonts w:ascii="Calibri" w:eastAsia="Calibri" w:hAnsi="Calibri" w:cs="Calibri"/>
              </w:rPr>
              <w:lastRenderedPageBreak/>
              <w:t>Policy/Procedure</w:t>
            </w:r>
          </w:p>
        </w:tc>
        <w:tc>
          <w:tcPr>
            <w:tcW w:w="1980" w:type="dxa"/>
          </w:tcPr>
          <w:p w14:paraId="20661905" w14:textId="77777777" w:rsidR="0047259D" w:rsidRPr="00893CFC" w:rsidRDefault="0047259D" w:rsidP="00684059">
            <w:pPr>
              <w:rPr>
                <w:rFonts w:ascii="Calibri" w:hAnsi="Calibri" w:cs="Calibri"/>
              </w:rPr>
            </w:pPr>
          </w:p>
        </w:tc>
        <w:tc>
          <w:tcPr>
            <w:tcW w:w="3510" w:type="dxa"/>
          </w:tcPr>
          <w:p w14:paraId="07DA97E2" w14:textId="5E906CFF" w:rsidR="0047259D" w:rsidRPr="00893CFC" w:rsidRDefault="0047259D" w:rsidP="00684059">
            <w:pPr>
              <w:rPr>
                <w:rFonts w:ascii="Calibri" w:hAnsi="Calibri" w:cs="Calibri"/>
              </w:rPr>
            </w:pPr>
          </w:p>
        </w:tc>
      </w:tr>
    </w:tbl>
    <w:p w14:paraId="1433D8DE" w14:textId="64C29B1A" w:rsidR="00E4319C" w:rsidRPr="00982140" w:rsidRDefault="00E4319C" w:rsidP="00FF06C5"/>
    <w:sectPr w:rsidR="00E4319C" w:rsidRPr="00982140" w:rsidSect="00C13675">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FF2C7" w14:textId="77777777" w:rsidR="00991DF9" w:rsidRDefault="00991DF9" w:rsidP="004E607B">
      <w:r>
        <w:separator/>
      </w:r>
    </w:p>
  </w:endnote>
  <w:endnote w:type="continuationSeparator" w:id="0">
    <w:p w14:paraId="27DD8F76" w14:textId="77777777" w:rsidR="00991DF9" w:rsidRDefault="00991DF9" w:rsidP="004E607B">
      <w:r>
        <w:continuationSeparator/>
      </w:r>
    </w:p>
  </w:endnote>
  <w:endnote w:type="continuationNotice" w:id="1">
    <w:p w14:paraId="0931F765" w14:textId="77777777" w:rsidR="00991DF9" w:rsidRDefault="00991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45572"/>
      <w:docPartObj>
        <w:docPartGallery w:val="Page Numbers (Bottom of Page)"/>
        <w:docPartUnique/>
      </w:docPartObj>
    </w:sdtPr>
    <w:sdtEndPr>
      <w:rPr>
        <w:noProof/>
      </w:rPr>
    </w:sdtEndPr>
    <w:sdtContent>
      <w:p w14:paraId="1C407EAD" w14:textId="02FA3F46" w:rsidR="00B137C1" w:rsidRDefault="00B137C1" w:rsidP="00B137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D1DDF0" w14:textId="77777777" w:rsidR="004E607B" w:rsidRDefault="004E607B" w:rsidP="00BB54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B3AF2" w14:textId="77777777" w:rsidR="00991DF9" w:rsidRDefault="00991DF9" w:rsidP="004E607B">
      <w:r>
        <w:separator/>
      </w:r>
    </w:p>
  </w:footnote>
  <w:footnote w:type="continuationSeparator" w:id="0">
    <w:p w14:paraId="28C36708" w14:textId="77777777" w:rsidR="00991DF9" w:rsidRDefault="00991DF9" w:rsidP="004E607B">
      <w:r>
        <w:continuationSeparator/>
      </w:r>
    </w:p>
  </w:footnote>
  <w:footnote w:type="continuationNotice" w:id="1">
    <w:p w14:paraId="1F6F0F7F" w14:textId="77777777" w:rsidR="00991DF9" w:rsidRDefault="00991D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85"/>
    </w:tblGrid>
    <w:tr w:rsidR="009707C0" w14:paraId="78627F4E" w14:textId="77777777" w:rsidTr="002347DD">
      <w:trPr>
        <w:trHeight w:val="413"/>
        <w:tblHeader/>
      </w:trPr>
      <w:tc>
        <w:tcPr>
          <w:tcW w:w="14485" w:type="dxa"/>
          <w:shd w:val="clear" w:color="auto" w:fill="8EAADB" w:themeFill="accent1" w:themeFillTint="99"/>
          <w:vAlign w:val="center"/>
        </w:tcPr>
        <w:p w14:paraId="78BCA713" w14:textId="1065E9DC" w:rsidR="009707C0" w:rsidRDefault="002D5E44" w:rsidP="009707C0">
          <w:pPr>
            <w:jc w:val="center"/>
            <w:rPr>
              <w:b/>
              <w:bCs/>
            </w:rPr>
          </w:pPr>
          <w:r w:rsidRPr="67F74684">
            <w:rPr>
              <w:rFonts w:ascii="Calibri Light" w:eastAsia="Calibri Light" w:hAnsi="Calibri Light" w:cs="Calibri Light"/>
              <w:b/>
              <w:bCs/>
              <w:color w:val="000000" w:themeColor="text1"/>
              <w:sz w:val="28"/>
              <w:szCs w:val="28"/>
            </w:rPr>
            <w:t>LRE Monitoring of Delegated Functions – Admin/Managed Care Functions</w:t>
          </w:r>
          <w:r>
            <w:rPr>
              <w:b/>
              <w:bCs/>
            </w:rPr>
            <w:t xml:space="preserve"> </w:t>
          </w:r>
        </w:p>
      </w:tc>
    </w:tr>
  </w:tbl>
  <w:p w14:paraId="5B95A783" w14:textId="77777777" w:rsidR="002A3672" w:rsidRDefault="002A3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F3559"/>
    <w:multiLevelType w:val="hybridMultilevel"/>
    <w:tmpl w:val="CAB072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8DF360A"/>
    <w:multiLevelType w:val="hybridMultilevel"/>
    <w:tmpl w:val="02E0BA82"/>
    <w:lvl w:ilvl="0" w:tplc="9684D5B4">
      <w:start w:val="1"/>
      <w:numFmt w:val="upperRoman"/>
      <w:lvlText w:val="%1."/>
      <w:lvlJc w:val="left"/>
      <w:pPr>
        <w:ind w:left="1080" w:hanging="720"/>
      </w:pPr>
      <w:rPr>
        <w:rFonts w:ascii="Times New Roman" w:eastAsia="Times New Roman"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915638">
    <w:abstractNumId w:val="1"/>
  </w:num>
  <w:num w:numId="2" w16cid:durableId="1488207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75"/>
    <w:rsid w:val="00001C29"/>
    <w:rsid w:val="000148E3"/>
    <w:rsid w:val="000161D6"/>
    <w:rsid w:val="00016CB4"/>
    <w:rsid w:val="00023F24"/>
    <w:rsid w:val="000250CC"/>
    <w:rsid w:val="0003527C"/>
    <w:rsid w:val="00037BF5"/>
    <w:rsid w:val="00042599"/>
    <w:rsid w:val="00042996"/>
    <w:rsid w:val="000458E0"/>
    <w:rsid w:val="00047394"/>
    <w:rsid w:val="00053F94"/>
    <w:rsid w:val="00057204"/>
    <w:rsid w:val="000634C2"/>
    <w:rsid w:val="00065875"/>
    <w:rsid w:val="00073FCF"/>
    <w:rsid w:val="00076B63"/>
    <w:rsid w:val="00086D0E"/>
    <w:rsid w:val="00090BB6"/>
    <w:rsid w:val="00091714"/>
    <w:rsid w:val="00095456"/>
    <w:rsid w:val="000A0E3E"/>
    <w:rsid w:val="000A30A1"/>
    <w:rsid w:val="000A552D"/>
    <w:rsid w:val="000A566E"/>
    <w:rsid w:val="000B1E43"/>
    <w:rsid w:val="000B1FAE"/>
    <w:rsid w:val="000B2A0C"/>
    <w:rsid w:val="000B5934"/>
    <w:rsid w:val="000B620C"/>
    <w:rsid w:val="000B6961"/>
    <w:rsid w:val="000C3591"/>
    <w:rsid w:val="000C53A7"/>
    <w:rsid w:val="000D4237"/>
    <w:rsid w:val="000D5623"/>
    <w:rsid w:val="000D7FF2"/>
    <w:rsid w:val="000E0F34"/>
    <w:rsid w:val="000E3121"/>
    <w:rsid w:val="000F6616"/>
    <w:rsid w:val="00101E53"/>
    <w:rsid w:val="00102A61"/>
    <w:rsid w:val="001030B5"/>
    <w:rsid w:val="001052E3"/>
    <w:rsid w:val="001067B9"/>
    <w:rsid w:val="001103AF"/>
    <w:rsid w:val="00114462"/>
    <w:rsid w:val="001240A3"/>
    <w:rsid w:val="00140468"/>
    <w:rsid w:val="001411E7"/>
    <w:rsid w:val="00156437"/>
    <w:rsid w:val="001571A0"/>
    <w:rsid w:val="001715C1"/>
    <w:rsid w:val="00176577"/>
    <w:rsid w:val="00180A3E"/>
    <w:rsid w:val="00182102"/>
    <w:rsid w:val="00183345"/>
    <w:rsid w:val="00185F51"/>
    <w:rsid w:val="00194344"/>
    <w:rsid w:val="00195A9C"/>
    <w:rsid w:val="00197E83"/>
    <w:rsid w:val="001A33C4"/>
    <w:rsid w:val="001A4A77"/>
    <w:rsid w:val="001A5836"/>
    <w:rsid w:val="001A5A2E"/>
    <w:rsid w:val="001A6B75"/>
    <w:rsid w:val="001A6B7F"/>
    <w:rsid w:val="001B0E33"/>
    <w:rsid w:val="001B3C3D"/>
    <w:rsid w:val="001B3E8A"/>
    <w:rsid w:val="001B48D2"/>
    <w:rsid w:val="001B5E01"/>
    <w:rsid w:val="001C2FF7"/>
    <w:rsid w:val="001C7402"/>
    <w:rsid w:val="001D4C7A"/>
    <w:rsid w:val="001D64B0"/>
    <w:rsid w:val="001D708C"/>
    <w:rsid w:val="001E1495"/>
    <w:rsid w:val="001E5017"/>
    <w:rsid w:val="001F0AD8"/>
    <w:rsid w:val="001F1D08"/>
    <w:rsid w:val="002008A6"/>
    <w:rsid w:val="0020655F"/>
    <w:rsid w:val="002065DF"/>
    <w:rsid w:val="00211AA5"/>
    <w:rsid w:val="00214C4F"/>
    <w:rsid w:val="0021784D"/>
    <w:rsid w:val="00221C27"/>
    <w:rsid w:val="00224F71"/>
    <w:rsid w:val="00227EBF"/>
    <w:rsid w:val="00233A81"/>
    <w:rsid w:val="002358AD"/>
    <w:rsid w:val="002363F6"/>
    <w:rsid w:val="0024158B"/>
    <w:rsid w:val="0024484A"/>
    <w:rsid w:val="0024709D"/>
    <w:rsid w:val="002472F1"/>
    <w:rsid w:val="00251258"/>
    <w:rsid w:val="00252157"/>
    <w:rsid w:val="00254900"/>
    <w:rsid w:val="00284D2A"/>
    <w:rsid w:val="00291CF7"/>
    <w:rsid w:val="00294847"/>
    <w:rsid w:val="002A3672"/>
    <w:rsid w:val="002A4C9E"/>
    <w:rsid w:val="002A6117"/>
    <w:rsid w:val="002B00C6"/>
    <w:rsid w:val="002B3525"/>
    <w:rsid w:val="002C3A84"/>
    <w:rsid w:val="002C5F5C"/>
    <w:rsid w:val="002D2DEE"/>
    <w:rsid w:val="002D2F08"/>
    <w:rsid w:val="002D3A9B"/>
    <w:rsid w:val="002D5E44"/>
    <w:rsid w:val="002E3831"/>
    <w:rsid w:val="002E3876"/>
    <w:rsid w:val="00301CD4"/>
    <w:rsid w:val="00301DAD"/>
    <w:rsid w:val="00304573"/>
    <w:rsid w:val="00306A9F"/>
    <w:rsid w:val="00306B96"/>
    <w:rsid w:val="003103B2"/>
    <w:rsid w:val="00311321"/>
    <w:rsid w:val="00313C93"/>
    <w:rsid w:val="003222E1"/>
    <w:rsid w:val="00331868"/>
    <w:rsid w:val="00331D8B"/>
    <w:rsid w:val="003369F3"/>
    <w:rsid w:val="00346365"/>
    <w:rsid w:val="00351487"/>
    <w:rsid w:val="00352A78"/>
    <w:rsid w:val="00356011"/>
    <w:rsid w:val="00356569"/>
    <w:rsid w:val="0035691A"/>
    <w:rsid w:val="00356CC7"/>
    <w:rsid w:val="00364BBF"/>
    <w:rsid w:val="00367C6C"/>
    <w:rsid w:val="00375268"/>
    <w:rsid w:val="00375B7D"/>
    <w:rsid w:val="0038121E"/>
    <w:rsid w:val="003875B5"/>
    <w:rsid w:val="00390005"/>
    <w:rsid w:val="00394567"/>
    <w:rsid w:val="003A2B35"/>
    <w:rsid w:val="003A694E"/>
    <w:rsid w:val="003B4862"/>
    <w:rsid w:val="003B5475"/>
    <w:rsid w:val="003B564C"/>
    <w:rsid w:val="003B5FFF"/>
    <w:rsid w:val="003D2FE1"/>
    <w:rsid w:val="003D3BB4"/>
    <w:rsid w:val="003E076F"/>
    <w:rsid w:val="003E2B26"/>
    <w:rsid w:val="003E2E52"/>
    <w:rsid w:val="003E6400"/>
    <w:rsid w:val="003E7293"/>
    <w:rsid w:val="003F0F63"/>
    <w:rsid w:val="003F1647"/>
    <w:rsid w:val="003F70AE"/>
    <w:rsid w:val="003F7857"/>
    <w:rsid w:val="00401298"/>
    <w:rsid w:val="00405FC5"/>
    <w:rsid w:val="00412708"/>
    <w:rsid w:val="00414BAB"/>
    <w:rsid w:val="004161BC"/>
    <w:rsid w:val="004172DC"/>
    <w:rsid w:val="004227A6"/>
    <w:rsid w:val="00425673"/>
    <w:rsid w:val="00430C4D"/>
    <w:rsid w:val="0043323E"/>
    <w:rsid w:val="00433B9E"/>
    <w:rsid w:val="00435906"/>
    <w:rsid w:val="00440099"/>
    <w:rsid w:val="00444C2E"/>
    <w:rsid w:val="00445E81"/>
    <w:rsid w:val="00461420"/>
    <w:rsid w:val="00463044"/>
    <w:rsid w:val="00464916"/>
    <w:rsid w:val="0047114B"/>
    <w:rsid w:val="0047259D"/>
    <w:rsid w:val="004744CB"/>
    <w:rsid w:val="00477C0F"/>
    <w:rsid w:val="004839BA"/>
    <w:rsid w:val="00485C6F"/>
    <w:rsid w:val="00490923"/>
    <w:rsid w:val="004A56F8"/>
    <w:rsid w:val="004C2492"/>
    <w:rsid w:val="004C3896"/>
    <w:rsid w:val="004C5244"/>
    <w:rsid w:val="004D1B58"/>
    <w:rsid w:val="004E050A"/>
    <w:rsid w:val="004E2786"/>
    <w:rsid w:val="004E607B"/>
    <w:rsid w:val="004F2011"/>
    <w:rsid w:val="004F353D"/>
    <w:rsid w:val="00504A30"/>
    <w:rsid w:val="00520099"/>
    <w:rsid w:val="00532A20"/>
    <w:rsid w:val="00540E0A"/>
    <w:rsid w:val="00553519"/>
    <w:rsid w:val="00557BE0"/>
    <w:rsid w:val="005632C9"/>
    <w:rsid w:val="0056575A"/>
    <w:rsid w:val="00571767"/>
    <w:rsid w:val="005749F2"/>
    <w:rsid w:val="00575E2A"/>
    <w:rsid w:val="005765CA"/>
    <w:rsid w:val="00581AA9"/>
    <w:rsid w:val="00581E81"/>
    <w:rsid w:val="00582925"/>
    <w:rsid w:val="0058607D"/>
    <w:rsid w:val="00590F33"/>
    <w:rsid w:val="005B3347"/>
    <w:rsid w:val="005C2579"/>
    <w:rsid w:val="005D11E6"/>
    <w:rsid w:val="005D265D"/>
    <w:rsid w:val="005E049B"/>
    <w:rsid w:val="005E318A"/>
    <w:rsid w:val="005E3920"/>
    <w:rsid w:val="005E798C"/>
    <w:rsid w:val="005F1C29"/>
    <w:rsid w:val="00605328"/>
    <w:rsid w:val="0060735E"/>
    <w:rsid w:val="00612C1D"/>
    <w:rsid w:val="006146E1"/>
    <w:rsid w:val="00615849"/>
    <w:rsid w:val="00617ED1"/>
    <w:rsid w:val="006328D5"/>
    <w:rsid w:val="00633F04"/>
    <w:rsid w:val="006513F8"/>
    <w:rsid w:val="00657962"/>
    <w:rsid w:val="00667727"/>
    <w:rsid w:val="00674311"/>
    <w:rsid w:val="006747AA"/>
    <w:rsid w:val="00682F04"/>
    <w:rsid w:val="00684059"/>
    <w:rsid w:val="00684089"/>
    <w:rsid w:val="00685F18"/>
    <w:rsid w:val="006902DA"/>
    <w:rsid w:val="00693305"/>
    <w:rsid w:val="00696669"/>
    <w:rsid w:val="0069666E"/>
    <w:rsid w:val="006975D2"/>
    <w:rsid w:val="00697946"/>
    <w:rsid w:val="006A4518"/>
    <w:rsid w:val="006A4663"/>
    <w:rsid w:val="006B18DC"/>
    <w:rsid w:val="006B1D09"/>
    <w:rsid w:val="006C0BF9"/>
    <w:rsid w:val="006C2A92"/>
    <w:rsid w:val="006C3F2A"/>
    <w:rsid w:val="006C53BE"/>
    <w:rsid w:val="006C7878"/>
    <w:rsid w:val="006D47E6"/>
    <w:rsid w:val="006E62F6"/>
    <w:rsid w:val="006E78CB"/>
    <w:rsid w:val="00704C0E"/>
    <w:rsid w:val="007062F3"/>
    <w:rsid w:val="00713388"/>
    <w:rsid w:val="0071391F"/>
    <w:rsid w:val="00715945"/>
    <w:rsid w:val="00724EE4"/>
    <w:rsid w:val="00727831"/>
    <w:rsid w:val="007331EC"/>
    <w:rsid w:val="00737A4E"/>
    <w:rsid w:val="00744B8D"/>
    <w:rsid w:val="0074508F"/>
    <w:rsid w:val="007637BB"/>
    <w:rsid w:val="00765C22"/>
    <w:rsid w:val="007670CC"/>
    <w:rsid w:val="007761A9"/>
    <w:rsid w:val="007854D5"/>
    <w:rsid w:val="00793978"/>
    <w:rsid w:val="007A74CF"/>
    <w:rsid w:val="007B0DB7"/>
    <w:rsid w:val="007B362B"/>
    <w:rsid w:val="007B3E54"/>
    <w:rsid w:val="007B534B"/>
    <w:rsid w:val="007B7FF3"/>
    <w:rsid w:val="007D240C"/>
    <w:rsid w:val="007D2F63"/>
    <w:rsid w:val="007D2F76"/>
    <w:rsid w:val="007E1C53"/>
    <w:rsid w:val="007E2480"/>
    <w:rsid w:val="007E2B7D"/>
    <w:rsid w:val="007E3EFB"/>
    <w:rsid w:val="007E5BE3"/>
    <w:rsid w:val="007E64B8"/>
    <w:rsid w:val="007F287C"/>
    <w:rsid w:val="00804994"/>
    <w:rsid w:val="00811222"/>
    <w:rsid w:val="00812BBD"/>
    <w:rsid w:val="00813A88"/>
    <w:rsid w:val="008169D7"/>
    <w:rsid w:val="00820B66"/>
    <w:rsid w:val="00825923"/>
    <w:rsid w:val="0083133D"/>
    <w:rsid w:val="00832108"/>
    <w:rsid w:val="0083667B"/>
    <w:rsid w:val="00837D6B"/>
    <w:rsid w:val="008445E7"/>
    <w:rsid w:val="008447B2"/>
    <w:rsid w:val="0084622D"/>
    <w:rsid w:val="008509EC"/>
    <w:rsid w:val="00850CEB"/>
    <w:rsid w:val="00856F46"/>
    <w:rsid w:val="00861531"/>
    <w:rsid w:val="0087021F"/>
    <w:rsid w:val="00875D0C"/>
    <w:rsid w:val="008903A6"/>
    <w:rsid w:val="00891589"/>
    <w:rsid w:val="00893CFC"/>
    <w:rsid w:val="00896C0D"/>
    <w:rsid w:val="008B2546"/>
    <w:rsid w:val="008B3615"/>
    <w:rsid w:val="008B6F25"/>
    <w:rsid w:val="008C3132"/>
    <w:rsid w:val="008E20F6"/>
    <w:rsid w:val="008E356B"/>
    <w:rsid w:val="008F14A2"/>
    <w:rsid w:val="008F7B14"/>
    <w:rsid w:val="00902CE0"/>
    <w:rsid w:val="00906859"/>
    <w:rsid w:val="00906EC6"/>
    <w:rsid w:val="009159E8"/>
    <w:rsid w:val="00915DF8"/>
    <w:rsid w:val="0091603A"/>
    <w:rsid w:val="009163F2"/>
    <w:rsid w:val="00916863"/>
    <w:rsid w:val="00917614"/>
    <w:rsid w:val="009176DB"/>
    <w:rsid w:val="00920420"/>
    <w:rsid w:val="0092455A"/>
    <w:rsid w:val="00935FC9"/>
    <w:rsid w:val="00942599"/>
    <w:rsid w:val="00942855"/>
    <w:rsid w:val="00945087"/>
    <w:rsid w:val="00945206"/>
    <w:rsid w:val="00952029"/>
    <w:rsid w:val="00953691"/>
    <w:rsid w:val="009571AA"/>
    <w:rsid w:val="00967639"/>
    <w:rsid w:val="009707C0"/>
    <w:rsid w:val="0097196D"/>
    <w:rsid w:val="009751E3"/>
    <w:rsid w:val="00976222"/>
    <w:rsid w:val="009773AB"/>
    <w:rsid w:val="00982140"/>
    <w:rsid w:val="00982F8C"/>
    <w:rsid w:val="0099199E"/>
    <w:rsid w:val="00991DF9"/>
    <w:rsid w:val="00994BDE"/>
    <w:rsid w:val="009A377B"/>
    <w:rsid w:val="009A5EDB"/>
    <w:rsid w:val="009B3ABC"/>
    <w:rsid w:val="009B49B1"/>
    <w:rsid w:val="009B779E"/>
    <w:rsid w:val="009C40BD"/>
    <w:rsid w:val="009D4F55"/>
    <w:rsid w:val="009E175F"/>
    <w:rsid w:val="009E5DE9"/>
    <w:rsid w:val="009E6A39"/>
    <w:rsid w:val="009F32BA"/>
    <w:rsid w:val="009F5CAC"/>
    <w:rsid w:val="009F600D"/>
    <w:rsid w:val="00A001F2"/>
    <w:rsid w:val="00A02EFC"/>
    <w:rsid w:val="00A0341E"/>
    <w:rsid w:val="00A1255E"/>
    <w:rsid w:val="00A125B0"/>
    <w:rsid w:val="00A220A9"/>
    <w:rsid w:val="00A273EE"/>
    <w:rsid w:val="00A31DA3"/>
    <w:rsid w:val="00A3267F"/>
    <w:rsid w:val="00A32A8D"/>
    <w:rsid w:val="00A33EC3"/>
    <w:rsid w:val="00A348A2"/>
    <w:rsid w:val="00A50534"/>
    <w:rsid w:val="00A508B9"/>
    <w:rsid w:val="00A5616E"/>
    <w:rsid w:val="00A57A75"/>
    <w:rsid w:val="00A62AA0"/>
    <w:rsid w:val="00A72615"/>
    <w:rsid w:val="00A738BF"/>
    <w:rsid w:val="00A76FEE"/>
    <w:rsid w:val="00A77A7D"/>
    <w:rsid w:val="00A80AEA"/>
    <w:rsid w:val="00A85166"/>
    <w:rsid w:val="00A85A18"/>
    <w:rsid w:val="00A972A9"/>
    <w:rsid w:val="00A97A84"/>
    <w:rsid w:val="00AA41EE"/>
    <w:rsid w:val="00AA7A0D"/>
    <w:rsid w:val="00AB0105"/>
    <w:rsid w:val="00AB1B21"/>
    <w:rsid w:val="00AB3BE9"/>
    <w:rsid w:val="00AC20A7"/>
    <w:rsid w:val="00AC26C5"/>
    <w:rsid w:val="00AC2D34"/>
    <w:rsid w:val="00AC5ADD"/>
    <w:rsid w:val="00AD41AE"/>
    <w:rsid w:val="00AD4E30"/>
    <w:rsid w:val="00AD5899"/>
    <w:rsid w:val="00AD7564"/>
    <w:rsid w:val="00AD798B"/>
    <w:rsid w:val="00AE458B"/>
    <w:rsid w:val="00AE633D"/>
    <w:rsid w:val="00AF4496"/>
    <w:rsid w:val="00AF4AC8"/>
    <w:rsid w:val="00B01575"/>
    <w:rsid w:val="00B0370B"/>
    <w:rsid w:val="00B07A19"/>
    <w:rsid w:val="00B11186"/>
    <w:rsid w:val="00B129EB"/>
    <w:rsid w:val="00B137C1"/>
    <w:rsid w:val="00B13DFE"/>
    <w:rsid w:val="00B225A0"/>
    <w:rsid w:val="00B23AB4"/>
    <w:rsid w:val="00B2694B"/>
    <w:rsid w:val="00B3661E"/>
    <w:rsid w:val="00B426C4"/>
    <w:rsid w:val="00B450AA"/>
    <w:rsid w:val="00B45997"/>
    <w:rsid w:val="00B46EB1"/>
    <w:rsid w:val="00B50D5E"/>
    <w:rsid w:val="00B60D06"/>
    <w:rsid w:val="00B6162A"/>
    <w:rsid w:val="00B63448"/>
    <w:rsid w:val="00B667B5"/>
    <w:rsid w:val="00B711C8"/>
    <w:rsid w:val="00B77A00"/>
    <w:rsid w:val="00B840CD"/>
    <w:rsid w:val="00B84848"/>
    <w:rsid w:val="00B85B48"/>
    <w:rsid w:val="00B87401"/>
    <w:rsid w:val="00B91DF9"/>
    <w:rsid w:val="00B93BD1"/>
    <w:rsid w:val="00B96942"/>
    <w:rsid w:val="00BA0B35"/>
    <w:rsid w:val="00BA138A"/>
    <w:rsid w:val="00BA16A0"/>
    <w:rsid w:val="00BA3AD4"/>
    <w:rsid w:val="00BA5D49"/>
    <w:rsid w:val="00BB198E"/>
    <w:rsid w:val="00BB5493"/>
    <w:rsid w:val="00BC0E3F"/>
    <w:rsid w:val="00BC3459"/>
    <w:rsid w:val="00BC4D6F"/>
    <w:rsid w:val="00BD0C37"/>
    <w:rsid w:val="00BD0CC0"/>
    <w:rsid w:val="00BD22B0"/>
    <w:rsid w:val="00BD6666"/>
    <w:rsid w:val="00BD7164"/>
    <w:rsid w:val="00BE2993"/>
    <w:rsid w:val="00BE3CD4"/>
    <w:rsid w:val="00BF0EFE"/>
    <w:rsid w:val="00BF1A3B"/>
    <w:rsid w:val="00BF4223"/>
    <w:rsid w:val="00BF60F3"/>
    <w:rsid w:val="00BF6BE3"/>
    <w:rsid w:val="00C024B5"/>
    <w:rsid w:val="00C0716D"/>
    <w:rsid w:val="00C13675"/>
    <w:rsid w:val="00C20CBD"/>
    <w:rsid w:val="00C20E19"/>
    <w:rsid w:val="00C35E3D"/>
    <w:rsid w:val="00C36089"/>
    <w:rsid w:val="00C370CF"/>
    <w:rsid w:val="00C37F4D"/>
    <w:rsid w:val="00C4327B"/>
    <w:rsid w:val="00C43400"/>
    <w:rsid w:val="00C44329"/>
    <w:rsid w:val="00C45917"/>
    <w:rsid w:val="00C46294"/>
    <w:rsid w:val="00C50428"/>
    <w:rsid w:val="00C508BC"/>
    <w:rsid w:val="00C61B8B"/>
    <w:rsid w:val="00C658A7"/>
    <w:rsid w:val="00C85D94"/>
    <w:rsid w:val="00C87D80"/>
    <w:rsid w:val="00C922FE"/>
    <w:rsid w:val="00C935E9"/>
    <w:rsid w:val="00C953E3"/>
    <w:rsid w:val="00C978DD"/>
    <w:rsid w:val="00CB30E4"/>
    <w:rsid w:val="00CB3128"/>
    <w:rsid w:val="00CB326E"/>
    <w:rsid w:val="00CB6634"/>
    <w:rsid w:val="00CC00BD"/>
    <w:rsid w:val="00CC6094"/>
    <w:rsid w:val="00CC7301"/>
    <w:rsid w:val="00CD19D2"/>
    <w:rsid w:val="00CD3CFF"/>
    <w:rsid w:val="00CE34ED"/>
    <w:rsid w:val="00CE5642"/>
    <w:rsid w:val="00CE70A0"/>
    <w:rsid w:val="00CE743C"/>
    <w:rsid w:val="00CF0829"/>
    <w:rsid w:val="00CF7DE1"/>
    <w:rsid w:val="00D0128F"/>
    <w:rsid w:val="00D115C7"/>
    <w:rsid w:val="00D14FE1"/>
    <w:rsid w:val="00D1778D"/>
    <w:rsid w:val="00D2497D"/>
    <w:rsid w:val="00D320A0"/>
    <w:rsid w:val="00D341F5"/>
    <w:rsid w:val="00D35108"/>
    <w:rsid w:val="00D36E74"/>
    <w:rsid w:val="00D370BB"/>
    <w:rsid w:val="00D40B2C"/>
    <w:rsid w:val="00D459F7"/>
    <w:rsid w:val="00D5237F"/>
    <w:rsid w:val="00D53F8C"/>
    <w:rsid w:val="00D57450"/>
    <w:rsid w:val="00D57721"/>
    <w:rsid w:val="00D61D7F"/>
    <w:rsid w:val="00D64996"/>
    <w:rsid w:val="00D70CD2"/>
    <w:rsid w:val="00D720ED"/>
    <w:rsid w:val="00D767D0"/>
    <w:rsid w:val="00D76BE1"/>
    <w:rsid w:val="00D81064"/>
    <w:rsid w:val="00D847CC"/>
    <w:rsid w:val="00D8513C"/>
    <w:rsid w:val="00D86E35"/>
    <w:rsid w:val="00D87C0A"/>
    <w:rsid w:val="00D92DE2"/>
    <w:rsid w:val="00DA116B"/>
    <w:rsid w:val="00DA239B"/>
    <w:rsid w:val="00DB0B04"/>
    <w:rsid w:val="00DB421E"/>
    <w:rsid w:val="00DB52E3"/>
    <w:rsid w:val="00DB538B"/>
    <w:rsid w:val="00DB77BC"/>
    <w:rsid w:val="00DD2233"/>
    <w:rsid w:val="00DD629F"/>
    <w:rsid w:val="00DD6462"/>
    <w:rsid w:val="00DD6789"/>
    <w:rsid w:val="00DF006A"/>
    <w:rsid w:val="00DF6D8A"/>
    <w:rsid w:val="00DF6FB6"/>
    <w:rsid w:val="00E036A5"/>
    <w:rsid w:val="00E120BA"/>
    <w:rsid w:val="00E20B77"/>
    <w:rsid w:val="00E23F08"/>
    <w:rsid w:val="00E275FF"/>
    <w:rsid w:val="00E305D1"/>
    <w:rsid w:val="00E30F5D"/>
    <w:rsid w:val="00E32D48"/>
    <w:rsid w:val="00E34815"/>
    <w:rsid w:val="00E3685D"/>
    <w:rsid w:val="00E42C66"/>
    <w:rsid w:val="00E4319C"/>
    <w:rsid w:val="00E435FA"/>
    <w:rsid w:val="00E46D95"/>
    <w:rsid w:val="00E523A3"/>
    <w:rsid w:val="00E57FC0"/>
    <w:rsid w:val="00E7167C"/>
    <w:rsid w:val="00E7567B"/>
    <w:rsid w:val="00E75DDF"/>
    <w:rsid w:val="00E76733"/>
    <w:rsid w:val="00E81509"/>
    <w:rsid w:val="00E92E0F"/>
    <w:rsid w:val="00E95D33"/>
    <w:rsid w:val="00EA16C8"/>
    <w:rsid w:val="00EA1750"/>
    <w:rsid w:val="00EA2A9D"/>
    <w:rsid w:val="00EA42E4"/>
    <w:rsid w:val="00EB23D6"/>
    <w:rsid w:val="00EB5B63"/>
    <w:rsid w:val="00EB5C4E"/>
    <w:rsid w:val="00EC2960"/>
    <w:rsid w:val="00EC4DED"/>
    <w:rsid w:val="00EC7295"/>
    <w:rsid w:val="00EE4EBE"/>
    <w:rsid w:val="00EF1BDF"/>
    <w:rsid w:val="00F035AB"/>
    <w:rsid w:val="00F076B6"/>
    <w:rsid w:val="00F150B8"/>
    <w:rsid w:val="00F178BB"/>
    <w:rsid w:val="00F238B5"/>
    <w:rsid w:val="00F35648"/>
    <w:rsid w:val="00F4272A"/>
    <w:rsid w:val="00F44D8F"/>
    <w:rsid w:val="00F46027"/>
    <w:rsid w:val="00F46867"/>
    <w:rsid w:val="00F57245"/>
    <w:rsid w:val="00F61107"/>
    <w:rsid w:val="00F62BB9"/>
    <w:rsid w:val="00F64E78"/>
    <w:rsid w:val="00F6584A"/>
    <w:rsid w:val="00F6751E"/>
    <w:rsid w:val="00F7030B"/>
    <w:rsid w:val="00F74180"/>
    <w:rsid w:val="00F77B47"/>
    <w:rsid w:val="00F82561"/>
    <w:rsid w:val="00F903B6"/>
    <w:rsid w:val="00F91802"/>
    <w:rsid w:val="00F94879"/>
    <w:rsid w:val="00FB3EDB"/>
    <w:rsid w:val="00FB4844"/>
    <w:rsid w:val="00FC3304"/>
    <w:rsid w:val="00FC4C96"/>
    <w:rsid w:val="00FC589A"/>
    <w:rsid w:val="00FC68CB"/>
    <w:rsid w:val="00FD2332"/>
    <w:rsid w:val="00FE15A9"/>
    <w:rsid w:val="00FE188A"/>
    <w:rsid w:val="00FE4374"/>
    <w:rsid w:val="00FF06C5"/>
    <w:rsid w:val="00FF285A"/>
    <w:rsid w:val="00FF3243"/>
    <w:rsid w:val="00FF730E"/>
    <w:rsid w:val="079E9A1B"/>
    <w:rsid w:val="0E65864A"/>
    <w:rsid w:val="0F96E714"/>
    <w:rsid w:val="12A24530"/>
    <w:rsid w:val="26586EB5"/>
    <w:rsid w:val="31543E6D"/>
    <w:rsid w:val="3DA41120"/>
    <w:rsid w:val="3E48D23D"/>
    <w:rsid w:val="4400C3BA"/>
    <w:rsid w:val="464C3180"/>
    <w:rsid w:val="47EC1B8B"/>
    <w:rsid w:val="49017FCF"/>
    <w:rsid w:val="4B9BCBF0"/>
    <w:rsid w:val="53EEC840"/>
    <w:rsid w:val="55A8D221"/>
    <w:rsid w:val="58287EB4"/>
    <w:rsid w:val="58FBC28A"/>
    <w:rsid w:val="600929C7"/>
    <w:rsid w:val="61312489"/>
    <w:rsid w:val="62A05F06"/>
    <w:rsid w:val="63F93EC1"/>
    <w:rsid w:val="688CDDFC"/>
    <w:rsid w:val="79ABE2BC"/>
    <w:rsid w:val="7F4C9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4887"/>
  <w15:chartTrackingRefBased/>
  <w15:docId w15:val="{D200ABC5-6037-48F4-A709-03A92355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6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3675"/>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675"/>
    <w:rPr>
      <w:rFonts w:ascii="Arial" w:eastAsia="Times New Roman" w:hAnsi="Arial" w:cs="Arial"/>
      <w:b/>
      <w:bCs/>
      <w:sz w:val="24"/>
      <w:szCs w:val="24"/>
    </w:rPr>
  </w:style>
  <w:style w:type="paragraph" w:styleId="ListParagraph">
    <w:name w:val="List Paragraph"/>
    <w:basedOn w:val="Normal"/>
    <w:uiPriority w:val="34"/>
    <w:qFormat/>
    <w:rsid w:val="00227EBF"/>
    <w:pPr>
      <w:ind w:left="720"/>
      <w:contextualSpacing/>
    </w:pPr>
  </w:style>
  <w:style w:type="paragraph" w:styleId="Header">
    <w:name w:val="header"/>
    <w:basedOn w:val="Normal"/>
    <w:link w:val="HeaderChar"/>
    <w:uiPriority w:val="99"/>
    <w:unhideWhenUsed/>
    <w:rsid w:val="004E607B"/>
    <w:pPr>
      <w:tabs>
        <w:tab w:val="center" w:pos="4680"/>
        <w:tab w:val="right" w:pos="9360"/>
      </w:tabs>
    </w:pPr>
  </w:style>
  <w:style w:type="character" w:customStyle="1" w:styleId="HeaderChar">
    <w:name w:val="Header Char"/>
    <w:basedOn w:val="DefaultParagraphFont"/>
    <w:link w:val="Header"/>
    <w:uiPriority w:val="99"/>
    <w:rsid w:val="004E60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07B"/>
    <w:pPr>
      <w:tabs>
        <w:tab w:val="center" w:pos="4680"/>
        <w:tab w:val="right" w:pos="9360"/>
      </w:tabs>
    </w:pPr>
  </w:style>
  <w:style w:type="character" w:customStyle="1" w:styleId="FooterChar">
    <w:name w:val="Footer Char"/>
    <w:basedOn w:val="DefaultParagraphFont"/>
    <w:link w:val="Footer"/>
    <w:uiPriority w:val="99"/>
    <w:rsid w:val="004E607B"/>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09650">
      <w:bodyDiv w:val="1"/>
      <w:marLeft w:val="0"/>
      <w:marRight w:val="0"/>
      <w:marTop w:val="0"/>
      <w:marBottom w:val="0"/>
      <w:divBdr>
        <w:top w:val="none" w:sz="0" w:space="0" w:color="auto"/>
        <w:left w:val="none" w:sz="0" w:space="0" w:color="auto"/>
        <w:bottom w:val="none" w:sz="0" w:space="0" w:color="auto"/>
        <w:right w:val="none" w:sz="0" w:space="0" w:color="auto"/>
      </w:divBdr>
    </w:div>
    <w:div w:id="849223835">
      <w:bodyDiv w:val="1"/>
      <w:marLeft w:val="0"/>
      <w:marRight w:val="0"/>
      <w:marTop w:val="0"/>
      <w:marBottom w:val="0"/>
      <w:divBdr>
        <w:top w:val="none" w:sz="0" w:space="0" w:color="auto"/>
        <w:left w:val="none" w:sz="0" w:space="0" w:color="auto"/>
        <w:bottom w:val="none" w:sz="0" w:space="0" w:color="auto"/>
        <w:right w:val="none" w:sz="0" w:space="0" w:color="auto"/>
      </w:divBdr>
    </w:div>
    <w:div w:id="1381319625">
      <w:bodyDiv w:val="1"/>
      <w:marLeft w:val="0"/>
      <w:marRight w:val="0"/>
      <w:marTop w:val="0"/>
      <w:marBottom w:val="0"/>
      <w:divBdr>
        <w:top w:val="none" w:sz="0" w:space="0" w:color="auto"/>
        <w:left w:val="none" w:sz="0" w:space="0" w:color="auto"/>
        <w:bottom w:val="none" w:sz="0" w:space="0" w:color="auto"/>
        <w:right w:val="none" w:sz="0" w:space="0" w:color="auto"/>
      </w:divBdr>
    </w:div>
    <w:div w:id="19820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ab23f5-1e26-4817-af71-abc2f96b83d8">
      <Terms xmlns="http://schemas.microsoft.com/office/infopath/2007/PartnerControls"/>
    </lcf76f155ced4ddcb4097134ff3c332f>
    <TaxCatchAll xmlns="4d784072-253a-4b8b-800b-1f77af4c11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F67AA668E8B94FA24A1336DCFFCBB3" ma:contentTypeVersion="15" ma:contentTypeDescription="Create a new document." ma:contentTypeScope="" ma:versionID="8e7c25951c76d70cddb69251ce54b9a8">
  <xsd:schema xmlns:xsd="http://www.w3.org/2001/XMLSchema" xmlns:xs="http://www.w3.org/2001/XMLSchema" xmlns:p="http://schemas.microsoft.com/office/2006/metadata/properties" xmlns:ns2="d2ab23f5-1e26-4817-af71-abc2f96b83d8" xmlns:ns3="4d784072-253a-4b8b-800b-1f77af4c11b7" targetNamespace="http://schemas.microsoft.com/office/2006/metadata/properties" ma:root="true" ma:fieldsID="0d6aa4fdd1ff052c365d950ecd257297" ns2:_="" ns3:_="">
    <xsd:import namespace="d2ab23f5-1e26-4817-af71-abc2f96b83d8"/>
    <xsd:import namespace="4d784072-253a-4b8b-800b-1f77af4c11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b23f5-1e26-4817-af71-abc2f96b8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5f4c02-01be-4dd0-8be2-237d3218fd6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84072-253a-4b8b-800b-1f77af4c11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6b8e73-6ee2-4ede-b8c4-6ed4b5fec199}" ma:internalName="TaxCatchAll" ma:showField="CatchAllData" ma:web="4d784072-253a-4b8b-800b-1f77af4c11b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E820E-4C08-4045-9BFF-10DB41AAA012}">
  <ds:schemaRefs>
    <ds:schemaRef ds:uri="http://schemas.microsoft.com/office/2006/metadata/properties"/>
    <ds:schemaRef ds:uri="http://schemas.microsoft.com/office/infopath/2007/PartnerControls"/>
    <ds:schemaRef ds:uri="d2ab23f5-1e26-4817-af71-abc2f96b83d8"/>
    <ds:schemaRef ds:uri="4d784072-253a-4b8b-800b-1f77af4c11b7"/>
  </ds:schemaRefs>
</ds:datastoreItem>
</file>

<file path=customXml/itemProps2.xml><?xml version="1.0" encoding="utf-8"?>
<ds:datastoreItem xmlns:ds="http://schemas.openxmlformats.org/officeDocument/2006/customXml" ds:itemID="{524ACF6A-BA48-482B-9C7E-7B7CFABC4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b23f5-1e26-4817-af71-abc2f96b83d8"/>
    <ds:schemaRef ds:uri="4d784072-253a-4b8b-800b-1f77af4c1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C7A0DE-917A-4B0B-9303-98CB01070C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Westerhof</dc:creator>
  <cp:keywords/>
  <dc:description/>
  <cp:lastModifiedBy>Jackie Schut</cp:lastModifiedBy>
  <cp:revision>5</cp:revision>
  <dcterms:created xsi:type="dcterms:W3CDTF">2025-09-12T14:22:00Z</dcterms:created>
  <dcterms:modified xsi:type="dcterms:W3CDTF">2025-10-16T16:58:00Z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0x0101004FF67AA668E8B94FA24A1336DCFFCBB3</vt:lpwstr>
  </property>
</Properties>
</file>