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263" w:type="dxa"/>
        <w:tblLook w:val="04A0" w:firstRow="1" w:lastRow="0" w:firstColumn="1" w:lastColumn="0" w:noHBand="0" w:noVBand="1"/>
      </w:tblPr>
      <w:tblGrid>
        <w:gridCol w:w="926"/>
        <w:gridCol w:w="3547"/>
        <w:gridCol w:w="2615"/>
        <w:gridCol w:w="1846"/>
        <w:gridCol w:w="1772"/>
        <w:gridCol w:w="3557"/>
      </w:tblGrid>
      <w:tr w:rsidR="00CF1B71" w:rsidRPr="00525577" w14:paraId="763805CC" w14:textId="77777777" w:rsidTr="001901EA">
        <w:trPr>
          <w:trHeight w:val="498"/>
          <w:tblHeader/>
        </w:trPr>
        <w:tc>
          <w:tcPr>
            <w:tcW w:w="14263" w:type="dxa"/>
            <w:gridSpan w:val="6"/>
            <w:shd w:val="clear" w:color="auto" w:fill="B4C6E7" w:themeFill="accent1" w:themeFillTint="66"/>
          </w:tcPr>
          <w:p w14:paraId="460CDAF0" w14:textId="0B9DBCE6" w:rsidR="00E874DB" w:rsidRPr="00525577" w:rsidRDefault="002C6EAE" w:rsidP="00225DB4">
            <w:pPr>
              <w:rPr>
                <w:rFonts w:eastAsia="Calibri"/>
                <w:b/>
                <w:sz w:val="24"/>
                <w:szCs w:val="24"/>
              </w:rPr>
            </w:pPr>
            <w:r w:rsidRPr="00525577">
              <w:rPr>
                <w:rFonts w:eastAsia="Calibri"/>
                <w:b/>
                <w:sz w:val="24"/>
                <w:szCs w:val="24"/>
              </w:rPr>
              <w:t>XII</w:t>
            </w:r>
            <w:r w:rsidR="000D7138" w:rsidRPr="00525577">
              <w:rPr>
                <w:rFonts w:eastAsia="Calibri"/>
                <w:b/>
                <w:sz w:val="24"/>
                <w:szCs w:val="24"/>
              </w:rPr>
              <w:t>.</w:t>
            </w:r>
            <w:r w:rsidRPr="00525577">
              <w:rPr>
                <w:rFonts w:eastAsia="Calibri"/>
                <w:b/>
                <w:sz w:val="24"/>
                <w:szCs w:val="24"/>
              </w:rPr>
              <w:t xml:space="preserve"> Health Information Systems</w:t>
            </w:r>
          </w:p>
        </w:tc>
      </w:tr>
      <w:tr w:rsidR="00170852" w:rsidRPr="00525577" w14:paraId="1ADDBE3E" w14:textId="77777777" w:rsidTr="00B72B6A">
        <w:trPr>
          <w:trHeight w:val="498"/>
          <w:tblHeader/>
        </w:trPr>
        <w:tc>
          <w:tcPr>
            <w:tcW w:w="926" w:type="dxa"/>
            <w:shd w:val="clear" w:color="auto" w:fill="B4C6E7" w:themeFill="accent1" w:themeFillTint="66"/>
          </w:tcPr>
          <w:p w14:paraId="45E50B64" w14:textId="2857E6C2" w:rsidR="002844C4" w:rsidRPr="00525577" w:rsidRDefault="002D7F3D" w:rsidP="00E919D5">
            <w:pPr>
              <w:jc w:val="center"/>
              <w:rPr>
                <w:rFonts w:eastAsia="Calibri"/>
                <w:b/>
                <w:sz w:val="24"/>
                <w:szCs w:val="24"/>
              </w:rPr>
            </w:pPr>
            <w:r w:rsidRPr="00525577">
              <w:rPr>
                <w:rFonts w:eastAsia="Calibri"/>
                <w:b/>
                <w:sz w:val="24"/>
                <w:szCs w:val="24"/>
              </w:rPr>
              <w:t>#</w:t>
            </w:r>
          </w:p>
        </w:tc>
        <w:tc>
          <w:tcPr>
            <w:tcW w:w="3547" w:type="dxa"/>
            <w:shd w:val="clear" w:color="auto" w:fill="B4C6E7" w:themeFill="accent1" w:themeFillTint="66"/>
          </w:tcPr>
          <w:p w14:paraId="7EF2E4D3" w14:textId="3B448EE6" w:rsidR="002844C4" w:rsidRPr="00525577" w:rsidRDefault="002D7F3D" w:rsidP="00E919D5">
            <w:pPr>
              <w:jc w:val="center"/>
              <w:rPr>
                <w:rFonts w:eastAsia="Calibri"/>
                <w:b/>
                <w:sz w:val="24"/>
                <w:szCs w:val="24"/>
              </w:rPr>
            </w:pPr>
            <w:r w:rsidRPr="00525577">
              <w:rPr>
                <w:rFonts w:eastAsia="Calibri"/>
                <w:b/>
                <w:sz w:val="24"/>
                <w:szCs w:val="24"/>
              </w:rPr>
              <w:t>Standard</w:t>
            </w:r>
          </w:p>
        </w:tc>
        <w:tc>
          <w:tcPr>
            <w:tcW w:w="2615" w:type="dxa"/>
            <w:shd w:val="clear" w:color="auto" w:fill="B4C6E7" w:themeFill="accent1" w:themeFillTint="66"/>
          </w:tcPr>
          <w:p w14:paraId="6948F267" w14:textId="77777777" w:rsidR="002844C4" w:rsidRPr="00525577" w:rsidRDefault="002D7F3D" w:rsidP="00E919D5">
            <w:pPr>
              <w:jc w:val="center"/>
              <w:rPr>
                <w:rFonts w:eastAsia="Calibri"/>
                <w:b/>
                <w:sz w:val="24"/>
                <w:szCs w:val="24"/>
              </w:rPr>
            </w:pPr>
            <w:r w:rsidRPr="00525577">
              <w:rPr>
                <w:rFonts w:eastAsia="Calibri"/>
                <w:b/>
                <w:sz w:val="24"/>
                <w:szCs w:val="24"/>
              </w:rPr>
              <w:t>Basis/Source</w:t>
            </w:r>
          </w:p>
          <w:p w14:paraId="55BD6038" w14:textId="77777777" w:rsidR="00225DB4" w:rsidRPr="00525577" w:rsidRDefault="00225DB4" w:rsidP="00E919D5">
            <w:pPr>
              <w:jc w:val="center"/>
              <w:rPr>
                <w:rFonts w:eastAsia="Calibri"/>
                <w:sz w:val="24"/>
                <w:szCs w:val="24"/>
              </w:rPr>
            </w:pPr>
          </w:p>
          <w:p w14:paraId="5E91F493" w14:textId="77777777" w:rsidR="00225DB4" w:rsidRPr="00525577" w:rsidRDefault="00225DB4" w:rsidP="00E919D5">
            <w:pPr>
              <w:jc w:val="center"/>
              <w:rPr>
                <w:rFonts w:eastAsia="Calibri"/>
                <w:b/>
                <w:sz w:val="24"/>
                <w:szCs w:val="24"/>
              </w:rPr>
            </w:pPr>
          </w:p>
          <w:p w14:paraId="359062E8" w14:textId="77777777" w:rsidR="00225DB4" w:rsidRPr="00525577" w:rsidRDefault="00225DB4" w:rsidP="00E919D5">
            <w:pPr>
              <w:jc w:val="center"/>
              <w:rPr>
                <w:rFonts w:eastAsia="Calibri"/>
                <w:sz w:val="24"/>
                <w:szCs w:val="24"/>
              </w:rPr>
            </w:pPr>
          </w:p>
          <w:p w14:paraId="50BCB81D" w14:textId="45CD9264" w:rsidR="00225DB4" w:rsidRPr="00525577" w:rsidRDefault="00225DB4" w:rsidP="00E919D5">
            <w:pPr>
              <w:tabs>
                <w:tab w:val="left" w:pos="1647"/>
              </w:tabs>
              <w:jc w:val="center"/>
              <w:rPr>
                <w:rFonts w:eastAsia="Calibri"/>
                <w:b/>
                <w:sz w:val="24"/>
                <w:szCs w:val="24"/>
              </w:rPr>
            </w:pPr>
          </w:p>
          <w:p w14:paraId="01572DAF" w14:textId="77777777" w:rsidR="00225DB4" w:rsidRPr="00525577" w:rsidRDefault="00225DB4" w:rsidP="00E919D5">
            <w:pPr>
              <w:jc w:val="center"/>
              <w:rPr>
                <w:rFonts w:eastAsia="Calibri"/>
                <w:sz w:val="24"/>
                <w:szCs w:val="24"/>
              </w:rPr>
            </w:pPr>
          </w:p>
          <w:p w14:paraId="47416944" w14:textId="72F0220C" w:rsidR="00225DB4" w:rsidRPr="00525577" w:rsidRDefault="00225DB4" w:rsidP="00E919D5">
            <w:pPr>
              <w:jc w:val="center"/>
              <w:rPr>
                <w:rFonts w:eastAsia="Calibri"/>
                <w:sz w:val="24"/>
                <w:szCs w:val="24"/>
              </w:rPr>
            </w:pPr>
          </w:p>
        </w:tc>
        <w:tc>
          <w:tcPr>
            <w:tcW w:w="1846" w:type="dxa"/>
            <w:shd w:val="clear" w:color="auto" w:fill="B4C6E7" w:themeFill="accent1" w:themeFillTint="66"/>
          </w:tcPr>
          <w:p w14:paraId="33701DDC" w14:textId="14405ECD" w:rsidR="002844C4" w:rsidRPr="00525577" w:rsidRDefault="002D7F3D" w:rsidP="00E919D5">
            <w:pPr>
              <w:jc w:val="center"/>
              <w:rPr>
                <w:rFonts w:eastAsia="Calibri"/>
                <w:b/>
                <w:sz w:val="24"/>
                <w:szCs w:val="24"/>
              </w:rPr>
            </w:pPr>
            <w:r w:rsidRPr="00525577">
              <w:rPr>
                <w:rFonts w:eastAsia="Calibri"/>
                <w:b/>
                <w:sz w:val="24"/>
                <w:szCs w:val="24"/>
              </w:rPr>
              <w:t>Evidence of Compliance could include:</w:t>
            </w:r>
          </w:p>
        </w:tc>
        <w:tc>
          <w:tcPr>
            <w:tcW w:w="1772" w:type="dxa"/>
            <w:shd w:val="clear" w:color="auto" w:fill="B4C6E7" w:themeFill="accent1" w:themeFillTint="66"/>
          </w:tcPr>
          <w:p w14:paraId="6F3657B0" w14:textId="4CADF216" w:rsidR="002844C4" w:rsidRPr="00525577" w:rsidRDefault="002D7F3D" w:rsidP="00E919D5">
            <w:pPr>
              <w:jc w:val="center"/>
              <w:rPr>
                <w:rFonts w:eastAsia="Calibri"/>
                <w:b/>
                <w:sz w:val="24"/>
                <w:szCs w:val="24"/>
              </w:rPr>
            </w:pPr>
            <w:r w:rsidRPr="00525577">
              <w:rPr>
                <w:rFonts w:eastAsia="Calibri"/>
                <w:b/>
                <w:sz w:val="24"/>
                <w:szCs w:val="24"/>
              </w:rPr>
              <w:t>Review Guidelines for Reviewer</w:t>
            </w:r>
          </w:p>
        </w:tc>
        <w:tc>
          <w:tcPr>
            <w:tcW w:w="3557" w:type="dxa"/>
            <w:shd w:val="clear" w:color="auto" w:fill="B4C6E7" w:themeFill="accent1" w:themeFillTint="66"/>
          </w:tcPr>
          <w:p w14:paraId="420D6061" w14:textId="67885209" w:rsidR="002844C4" w:rsidRPr="00525577" w:rsidRDefault="002D7F3D" w:rsidP="00E919D5">
            <w:pPr>
              <w:jc w:val="center"/>
              <w:rPr>
                <w:rFonts w:eastAsia="Calibri"/>
                <w:b/>
                <w:sz w:val="24"/>
                <w:szCs w:val="24"/>
              </w:rPr>
            </w:pPr>
            <w:r w:rsidRPr="00525577">
              <w:rPr>
                <w:rFonts w:eastAsia="Calibri"/>
                <w:b/>
                <w:color w:val="FF0000"/>
                <w:sz w:val="24"/>
                <w:szCs w:val="24"/>
              </w:rPr>
              <w:t>Provider to complete</w:t>
            </w:r>
            <w:r w:rsidRPr="00525577">
              <w:rPr>
                <w:rFonts w:eastAsia="Calibri"/>
                <w:b/>
                <w:sz w:val="24"/>
                <w:szCs w:val="24"/>
              </w:rPr>
              <w:t>: List evidence provided and location of evidence for specific standard i.e</w:t>
            </w:r>
            <w:r w:rsidR="00236B70" w:rsidRPr="00525577">
              <w:rPr>
                <w:rFonts w:eastAsia="Calibri"/>
                <w:b/>
                <w:bCs/>
                <w:sz w:val="24"/>
                <w:szCs w:val="24"/>
              </w:rPr>
              <w:t>.,</w:t>
            </w:r>
            <w:r w:rsidRPr="00525577">
              <w:rPr>
                <w:rFonts w:eastAsia="Calibri"/>
                <w:b/>
                <w:sz w:val="24"/>
                <w:szCs w:val="24"/>
              </w:rPr>
              <w:t xml:space="preserve"> page number if applicable</w:t>
            </w:r>
          </w:p>
          <w:p w14:paraId="73C017C8" w14:textId="77777777" w:rsidR="0068607E" w:rsidRPr="00525577" w:rsidRDefault="0068607E" w:rsidP="00E919D5">
            <w:pPr>
              <w:jc w:val="center"/>
              <w:rPr>
                <w:rFonts w:eastAsia="Calibri"/>
                <w:b/>
                <w:sz w:val="24"/>
                <w:szCs w:val="24"/>
              </w:rPr>
            </w:pPr>
          </w:p>
          <w:p w14:paraId="573156DA" w14:textId="351659A7" w:rsidR="0068607E" w:rsidRPr="00525577" w:rsidRDefault="0068607E" w:rsidP="00E919D5">
            <w:pPr>
              <w:jc w:val="center"/>
              <w:rPr>
                <w:rFonts w:eastAsia="Calibri"/>
                <w:b/>
                <w:sz w:val="24"/>
                <w:szCs w:val="24"/>
              </w:rPr>
            </w:pPr>
          </w:p>
        </w:tc>
      </w:tr>
      <w:tr w:rsidR="0080272A" w:rsidRPr="00525577" w14:paraId="16B6F6C8" w14:textId="77777777" w:rsidTr="001901EA">
        <w:trPr>
          <w:trHeight w:val="395"/>
        </w:trPr>
        <w:tc>
          <w:tcPr>
            <w:tcW w:w="14263" w:type="dxa"/>
            <w:gridSpan w:val="6"/>
            <w:shd w:val="clear" w:color="auto" w:fill="FFFFFF" w:themeFill="background1"/>
          </w:tcPr>
          <w:p w14:paraId="3586FD7A" w14:textId="0D82E44E" w:rsidR="0080272A" w:rsidRPr="00525577" w:rsidRDefault="0080272A" w:rsidP="00225DB4">
            <w:pPr>
              <w:rPr>
                <w:b/>
                <w:sz w:val="24"/>
                <w:szCs w:val="24"/>
              </w:rPr>
            </w:pPr>
            <w:r w:rsidRPr="00525577">
              <w:rPr>
                <w:rFonts w:eastAsia="Calibri"/>
                <w:b/>
                <w:sz w:val="24"/>
                <w:szCs w:val="24"/>
              </w:rPr>
              <w:t>Administrative Safeguard</w:t>
            </w:r>
            <w:r w:rsidR="00AC0450" w:rsidRPr="00525577">
              <w:rPr>
                <w:rFonts w:eastAsia="Calibri"/>
                <w:b/>
                <w:sz w:val="24"/>
                <w:szCs w:val="24"/>
              </w:rPr>
              <w:t>s</w:t>
            </w:r>
            <w:r w:rsidR="006842DB" w:rsidRPr="00525577">
              <w:rPr>
                <w:rFonts w:eastAsia="Calibri"/>
                <w:b/>
                <w:sz w:val="24"/>
                <w:szCs w:val="24"/>
              </w:rPr>
              <w:t xml:space="preserve"> </w:t>
            </w:r>
            <w:r w:rsidR="00566FE0" w:rsidRPr="00525577">
              <w:rPr>
                <w:rFonts w:eastAsia="Calibri"/>
                <w:b/>
                <w:sz w:val="24"/>
                <w:szCs w:val="24"/>
              </w:rPr>
              <w:t>- Security</w:t>
            </w:r>
            <w:r w:rsidR="006842DB" w:rsidRPr="00525577">
              <w:rPr>
                <w:rFonts w:eastAsia="Calibri"/>
                <w:b/>
                <w:sz w:val="24"/>
                <w:szCs w:val="24"/>
              </w:rPr>
              <w:t xml:space="preserve"> Management:</w:t>
            </w:r>
            <w:r w:rsidR="00D60439" w:rsidRPr="00525577">
              <w:rPr>
                <w:rFonts w:eastAsia="Calibri"/>
                <w:b/>
                <w:sz w:val="24"/>
                <w:szCs w:val="24"/>
              </w:rPr>
              <w:t xml:space="preserve"> </w:t>
            </w:r>
          </w:p>
        </w:tc>
      </w:tr>
      <w:tr w:rsidR="00CE2893" w:rsidRPr="00525577" w14:paraId="3170DA03" w14:textId="4D0B1758" w:rsidTr="00B72B6A">
        <w:tc>
          <w:tcPr>
            <w:tcW w:w="926" w:type="dxa"/>
          </w:tcPr>
          <w:p w14:paraId="01124F2D" w14:textId="2E842592" w:rsidR="00CE2893" w:rsidRPr="00525577" w:rsidRDefault="00E529B8" w:rsidP="00225DB4">
            <w:pPr>
              <w:rPr>
                <w:sz w:val="24"/>
                <w:szCs w:val="24"/>
              </w:rPr>
            </w:pPr>
            <w:r w:rsidRPr="00525577">
              <w:rPr>
                <w:sz w:val="24"/>
                <w:szCs w:val="24"/>
              </w:rPr>
              <w:t>12.1</w:t>
            </w:r>
          </w:p>
        </w:tc>
        <w:tc>
          <w:tcPr>
            <w:tcW w:w="3547" w:type="dxa"/>
          </w:tcPr>
          <w:p w14:paraId="36741CA8" w14:textId="5CB1F2B8" w:rsidR="00CE2893" w:rsidRPr="00525577" w:rsidRDefault="00CE2893" w:rsidP="00225DB4">
            <w:pPr>
              <w:rPr>
                <w:rFonts w:cstheme="minorHAnsi"/>
                <w:sz w:val="24"/>
                <w:szCs w:val="24"/>
              </w:rPr>
            </w:pPr>
            <w:r w:rsidRPr="00525577">
              <w:rPr>
                <w:rFonts w:eastAsia="Calibri" w:cstheme="minorHAnsi"/>
                <w:sz w:val="24"/>
                <w:szCs w:val="24"/>
              </w:rPr>
              <w:t>An individual has been recognized as a HIPAA Security or Privacy officer.</w:t>
            </w:r>
          </w:p>
        </w:tc>
        <w:tc>
          <w:tcPr>
            <w:tcW w:w="2615" w:type="dxa"/>
            <w:vMerge w:val="restart"/>
          </w:tcPr>
          <w:p w14:paraId="46AA1FE6" w14:textId="0047FFC4" w:rsidR="00E529B8" w:rsidRPr="00525577" w:rsidRDefault="00CE2893" w:rsidP="00225DB4">
            <w:pPr>
              <w:rPr>
                <w:rFonts w:eastAsia="Calibri"/>
                <w:sz w:val="24"/>
                <w:szCs w:val="24"/>
              </w:rPr>
            </w:pPr>
            <w:r w:rsidRPr="00525577">
              <w:rPr>
                <w:rFonts w:eastAsia="Calibri"/>
                <w:sz w:val="24"/>
                <w:szCs w:val="24"/>
              </w:rPr>
              <w:t xml:space="preserve">HIPAA Security and Privacy, </w:t>
            </w:r>
          </w:p>
          <w:p w14:paraId="2F9E560B" w14:textId="31F3C1B8" w:rsidR="00E529B8" w:rsidRPr="00525577" w:rsidRDefault="00CE2893" w:rsidP="00225DB4">
            <w:pPr>
              <w:rPr>
                <w:rFonts w:eastAsia="Calibri"/>
                <w:sz w:val="24"/>
                <w:szCs w:val="24"/>
              </w:rPr>
            </w:pPr>
            <w:r w:rsidRPr="00525577">
              <w:rPr>
                <w:rFonts w:eastAsia="Calibri"/>
                <w:sz w:val="24"/>
                <w:szCs w:val="24"/>
              </w:rPr>
              <w:t>45 CFR Parts 160 &amp; 164 Subparts A, B, C, D, E</w:t>
            </w:r>
            <w:r w:rsidR="00E529B8" w:rsidRPr="00525577">
              <w:rPr>
                <w:rFonts w:eastAsia="Calibri"/>
                <w:sz w:val="24"/>
                <w:szCs w:val="24"/>
              </w:rPr>
              <w:t xml:space="preserve"> </w:t>
            </w:r>
          </w:p>
          <w:p w14:paraId="4937966C" w14:textId="2094F799" w:rsidR="00E529B8" w:rsidRPr="00525577" w:rsidRDefault="00CE2893" w:rsidP="00225DB4">
            <w:pPr>
              <w:rPr>
                <w:sz w:val="24"/>
                <w:szCs w:val="24"/>
              </w:rPr>
            </w:pPr>
            <w:r w:rsidRPr="00525577">
              <w:rPr>
                <w:rFonts w:eastAsia="Calibri"/>
                <w:sz w:val="24"/>
                <w:szCs w:val="24"/>
              </w:rPr>
              <w:t>LRE/CMHSP Participant contract delegation grid; Commonly</w:t>
            </w:r>
            <w:r w:rsidR="00E529B8" w:rsidRPr="00525577">
              <w:rPr>
                <w:rFonts w:eastAsia="Calibri"/>
                <w:sz w:val="24"/>
                <w:szCs w:val="24"/>
              </w:rPr>
              <w:t xml:space="preserve"> </w:t>
            </w:r>
            <w:r w:rsidRPr="00525577">
              <w:rPr>
                <w:rFonts w:eastAsia="Calibri"/>
                <w:sz w:val="24"/>
                <w:szCs w:val="24"/>
              </w:rPr>
              <w:t>accepted IT practices</w:t>
            </w:r>
          </w:p>
          <w:p w14:paraId="7492784F" w14:textId="2094F799" w:rsidR="00E529B8" w:rsidRPr="00525577" w:rsidRDefault="00E529B8" w:rsidP="00225DB4">
            <w:pPr>
              <w:rPr>
                <w:rFonts w:eastAsia="Calibri"/>
                <w:sz w:val="24"/>
                <w:szCs w:val="24"/>
              </w:rPr>
            </w:pPr>
          </w:p>
          <w:p w14:paraId="1F7C326D" w14:textId="6857BBF6" w:rsidR="00CE2893" w:rsidRPr="00525577" w:rsidRDefault="00CE2893" w:rsidP="00225DB4">
            <w:pPr>
              <w:rPr>
                <w:sz w:val="24"/>
                <w:szCs w:val="24"/>
              </w:rPr>
            </w:pPr>
          </w:p>
        </w:tc>
        <w:tc>
          <w:tcPr>
            <w:tcW w:w="1846" w:type="dxa"/>
          </w:tcPr>
          <w:p w14:paraId="7AA732EC" w14:textId="74AD5847" w:rsidR="00CE2893" w:rsidRPr="00525577" w:rsidRDefault="00CE2893" w:rsidP="00225DB4">
            <w:pPr>
              <w:rPr>
                <w:rFonts w:cstheme="minorHAnsi"/>
                <w:sz w:val="24"/>
                <w:szCs w:val="24"/>
              </w:rPr>
            </w:pPr>
          </w:p>
        </w:tc>
        <w:tc>
          <w:tcPr>
            <w:tcW w:w="1772" w:type="dxa"/>
          </w:tcPr>
          <w:p w14:paraId="7B5971D4" w14:textId="77777777" w:rsidR="00CE2893" w:rsidRPr="00525577" w:rsidRDefault="00CE2893" w:rsidP="00225DB4">
            <w:pPr>
              <w:rPr>
                <w:rFonts w:cstheme="minorHAnsi"/>
                <w:sz w:val="24"/>
                <w:szCs w:val="24"/>
              </w:rPr>
            </w:pPr>
          </w:p>
        </w:tc>
        <w:tc>
          <w:tcPr>
            <w:tcW w:w="3557" w:type="dxa"/>
          </w:tcPr>
          <w:p w14:paraId="3D8B5E37" w14:textId="4FFD47B4" w:rsidR="00CE2893" w:rsidRPr="00525577" w:rsidRDefault="00CE2893" w:rsidP="00225DB4">
            <w:pPr>
              <w:jc w:val="center"/>
              <w:rPr>
                <w:rFonts w:cstheme="minorHAnsi"/>
                <w:b/>
                <w:bCs/>
                <w:color w:val="FF0000"/>
                <w:sz w:val="24"/>
                <w:szCs w:val="24"/>
              </w:rPr>
            </w:pPr>
          </w:p>
        </w:tc>
      </w:tr>
      <w:tr w:rsidR="00CE2893" w:rsidRPr="00525577" w14:paraId="53663F72" w14:textId="26AA3641" w:rsidTr="00B72B6A">
        <w:tc>
          <w:tcPr>
            <w:tcW w:w="926" w:type="dxa"/>
          </w:tcPr>
          <w:p w14:paraId="4A9162AF" w14:textId="0097D8DA" w:rsidR="00CE2893" w:rsidRPr="00525577" w:rsidRDefault="00E529B8" w:rsidP="00225DB4">
            <w:pPr>
              <w:rPr>
                <w:sz w:val="24"/>
                <w:szCs w:val="24"/>
              </w:rPr>
            </w:pPr>
            <w:r w:rsidRPr="00525577">
              <w:rPr>
                <w:sz w:val="24"/>
                <w:szCs w:val="24"/>
              </w:rPr>
              <w:t>12.2</w:t>
            </w:r>
          </w:p>
        </w:tc>
        <w:tc>
          <w:tcPr>
            <w:tcW w:w="3547" w:type="dxa"/>
          </w:tcPr>
          <w:p w14:paraId="4683B428" w14:textId="33301058" w:rsidR="00CE2893" w:rsidRPr="00525577" w:rsidRDefault="00CE2893" w:rsidP="00225DB4">
            <w:pPr>
              <w:rPr>
                <w:rFonts w:cstheme="minorHAnsi"/>
                <w:sz w:val="24"/>
                <w:szCs w:val="24"/>
              </w:rPr>
            </w:pPr>
            <w:r w:rsidRPr="00525577">
              <w:rPr>
                <w:rFonts w:eastAsia="Calibri" w:cstheme="minorHAnsi"/>
                <w:sz w:val="24"/>
                <w:szCs w:val="24"/>
              </w:rPr>
              <w:t>The CMHSP has developed and documented an appropriate Risk Assessment evaluation to ensure continuity of critical business processes.</w:t>
            </w:r>
          </w:p>
        </w:tc>
        <w:tc>
          <w:tcPr>
            <w:tcW w:w="2615" w:type="dxa"/>
            <w:vMerge/>
          </w:tcPr>
          <w:p w14:paraId="45A3418A" w14:textId="77777777" w:rsidR="00CE2893" w:rsidRPr="00525577" w:rsidRDefault="00CE2893" w:rsidP="00225DB4">
            <w:pPr>
              <w:rPr>
                <w:rFonts w:cstheme="minorHAnsi"/>
                <w:sz w:val="24"/>
                <w:szCs w:val="24"/>
              </w:rPr>
            </w:pPr>
          </w:p>
        </w:tc>
        <w:tc>
          <w:tcPr>
            <w:tcW w:w="1846" w:type="dxa"/>
          </w:tcPr>
          <w:p w14:paraId="23163143" w14:textId="3AC695F5" w:rsidR="00CE2893" w:rsidRPr="00525577" w:rsidRDefault="00CE2893" w:rsidP="00225DB4">
            <w:pPr>
              <w:rPr>
                <w:sz w:val="24"/>
                <w:szCs w:val="24"/>
              </w:rPr>
            </w:pPr>
          </w:p>
        </w:tc>
        <w:tc>
          <w:tcPr>
            <w:tcW w:w="1772" w:type="dxa"/>
          </w:tcPr>
          <w:p w14:paraId="256CA0EC" w14:textId="77777777" w:rsidR="00CE2893" w:rsidRPr="00525577" w:rsidRDefault="00CE2893" w:rsidP="00225DB4">
            <w:pPr>
              <w:rPr>
                <w:rFonts w:cstheme="minorHAnsi"/>
                <w:sz w:val="24"/>
                <w:szCs w:val="24"/>
              </w:rPr>
            </w:pPr>
          </w:p>
        </w:tc>
        <w:tc>
          <w:tcPr>
            <w:tcW w:w="3557" w:type="dxa"/>
          </w:tcPr>
          <w:p w14:paraId="6AF02005" w14:textId="36AE18E1" w:rsidR="00CE2893" w:rsidRPr="00525577" w:rsidRDefault="00CE2893" w:rsidP="00225DB4">
            <w:pPr>
              <w:jc w:val="center"/>
              <w:rPr>
                <w:rFonts w:cstheme="minorHAnsi"/>
                <w:b/>
                <w:bCs/>
                <w:color w:val="FF0000"/>
                <w:sz w:val="24"/>
                <w:szCs w:val="24"/>
              </w:rPr>
            </w:pPr>
          </w:p>
        </w:tc>
      </w:tr>
      <w:tr w:rsidR="00CE2893" w:rsidRPr="00525577" w14:paraId="67D16C6F" w14:textId="190959CD" w:rsidTr="00B72B6A">
        <w:tc>
          <w:tcPr>
            <w:tcW w:w="926" w:type="dxa"/>
          </w:tcPr>
          <w:p w14:paraId="4B3E53DE" w14:textId="014CDC3F" w:rsidR="00CE2893" w:rsidRPr="00525577" w:rsidRDefault="00E529B8" w:rsidP="00225DB4">
            <w:pPr>
              <w:rPr>
                <w:sz w:val="24"/>
                <w:szCs w:val="24"/>
              </w:rPr>
            </w:pPr>
            <w:r w:rsidRPr="00525577">
              <w:rPr>
                <w:sz w:val="24"/>
                <w:szCs w:val="24"/>
              </w:rPr>
              <w:t>12.3</w:t>
            </w:r>
          </w:p>
        </w:tc>
        <w:tc>
          <w:tcPr>
            <w:tcW w:w="3547" w:type="dxa"/>
          </w:tcPr>
          <w:p w14:paraId="3124383A" w14:textId="0EA05A0C" w:rsidR="00CE2893" w:rsidRPr="00525577" w:rsidRDefault="00CE2893" w:rsidP="00225DB4">
            <w:pPr>
              <w:rPr>
                <w:rFonts w:cstheme="minorHAnsi"/>
                <w:sz w:val="24"/>
                <w:szCs w:val="24"/>
              </w:rPr>
            </w:pPr>
            <w:r w:rsidRPr="00525577">
              <w:rPr>
                <w:rFonts w:eastAsia="Calibri" w:cstheme="minorHAnsi"/>
                <w:sz w:val="24"/>
                <w:szCs w:val="24"/>
              </w:rPr>
              <w:t>Sanctions are in place for workforce members that fail to comply with security, acceptable use, or compliance policies and procedures.</w:t>
            </w:r>
          </w:p>
        </w:tc>
        <w:tc>
          <w:tcPr>
            <w:tcW w:w="2615" w:type="dxa"/>
            <w:vMerge/>
          </w:tcPr>
          <w:p w14:paraId="558DD4F9" w14:textId="1B8EF51E" w:rsidR="00CE2893" w:rsidRPr="00525577" w:rsidRDefault="00CE2893" w:rsidP="00225DB4">
            <w:pPr>
              <w:rPr>
                <w:rFonts w:cstheme="minorHAnsi"/>
                <w:sz w:val="24"/>
                <w:szCs w:val="24"/>
              </w:rPr>
            </w:pPr>
          </w:p>
        </w:tc>
        <w:tc>
          <w:tcPr>
            <w:tcW w:w="1846" w:type="dxa"/>
          </w:tcPr>
          <w:p w14:paraId="3D302E5F" w14:textId="342AEF19" w:rsidR="00CE2893" w:rsidRPr="00525577" w:rsidRDefault="00CE2893" w:rsidP="00225DB4">
            <w:pPr>
              <w:rPr>
                <w:rFonts w:cstheme="minorHAnsi"/>
                <w:sz w:val="24"/>
                <w:szCs w:val="24"/>
              </w:rPr>
            </w:pPr>
          </w:p>
        </w:tc>
        <w:tc>
          <w:tcPr>
            <w:tcW w:w="1772" w:type="dxa"/>
          </w:tcPr>
          <w:p w14:paraId="7C6FCB26" w14:textId="77777777" w:rsidR="00CE2893" w:rsidRPr="00525577" w:rsidRDefault="00CE2893" w:rsidP="00225DB4">
            <w:pPr>
              <w:rPr>
                <w:rFonts w:cstheme="minorHAnsi"/>
                <w:sz w:val="24"/>
                <w:szCs w:val="24"/>
              </w:rPr>
            </w:pPr>
          </w:p>
        </w:tc>
        <w:tc>
          <w:tcPr>
            <w:tcW w:w="3557" w:type="dxa"/>
          </w:tcPr>
          <w:p w14:paraId="16C6DC3A" w14:textId="544A04FC" w:rsidR="00CE2893" w:rsidRPr="00525577" w:rsidRDefault="00CE2893" w:rsidP="00225DB4">
            <w:pPr>
              <w:jc w:val="center"/>
              <w:rPr>
                <w:rFonts w:cstheme="minorHAnsi"/>
                <w:b/>
                <w:bCs/>
                <w:color w:val="FF0000"/>
                <w:sz w:val="24"/>
                <w:szCs w:val="24"/>
              </w:rPr>
            </w:pPr>
          </w:p>
        </w:tc>
      </w:tr>
      <w:tr w:rsidR="00CE2893" w:rsidRPr="00525577" w14:paraId="02124074" w14:textId="65FB4CDF" w:rsidTr="00B72B6A">
        <w:tc>
          <w:tcPr>
            <w:tcW w:w="926" w:type="dxa"/>
          </w:tcPr>
          <w:p w14:paraId="05FD6DD6" w14:textId="68DD1CB2" w:rsidR="00CE2893" w:rsidRPr="00525577" w:rsidRDefault="00E529B8" w:rsidP="00225DB4">
            <w:pPr>
              <w:rPr>
                <w:rFonts w:cstheme="minorHAnsi"/>
                <w:sz w:val="24"/>
                <w:szCs w:val="24"/>
              </w:rPr>
            </w:pPr>
            <w:r w:rsidRPr="00525577">
              <w:rPr>
                <w:sz w:val="24"/>
                <w:szCs w:val="24"/>
              </w:rPr>
              <w:t>12.4</w:t>
            </w:r>
          </w:p>
        </w:tc>
        <w:tc>
          <w:tcPr>
            <w:tcW w:w="3547" w:type="dxa"/>
          </w:tcPr>
          <w:p w14:paraId="666B5C91" w14:textId="1C24DF16" w:rsidR="00CE2893" w:rsidRPr="00525577" w:rsidRDefault="00CE2893" w:rsidP="00225DB4">
            <w:pPr>
              <w:rPr>
                <w:rFonts w:cstheme="minorHAnsi"/>
                <w:sz w:val="24"/>
                <w:szCs w:val="24"/>
              </w:rPr>
            </w:pPr>
            <w:r w:rsidRPr="00525577">
              <w:rPr>
                <w:rFonts w:eastAsia="Calibri" w:cstheme="minorHAnsi"/>
                <w:sz w:val="24"/>
                <w:szCs w:val="24"/>
              </w:rPr>
              <w:t>Policies or procedures are in place for monitoring logs and audited activity of information systems.</w:t>
            </w:r>
          </w:p>
        </w:tc>
        <w:tc>
          <w:tcPr>
            <w:tcW w:w="2615" w:type="dxa"/>
            <w:vMerge/>
          </w:tcPr>
          <w:p w14:paraId="3FCB1EDC" w14:textId="77777777" w:rsidR="00CE2893" w:rsidRPr="00525577" w:rsidRDefault="00CE2893" w:rsidP="00225DB4">
            <w:pPr>
              <w:rPr>
                <w:rFonts w:cstheme="minorHAnsi"/>
                <w:sz w:val="24"/>
                <w:szCs w:val="24"/>
              </w:rPr>
            </w:pPr>
          </w:p>
        </w:tc>
        <w:tc>
          <w:tcPr>
            <w:tcW w:w="1846" w:type="dxa"/>
          </w:tcPr>
          <w:p w14:paraId="6E6BC53F" w14:textId="7E361A79" w:rsidR="00CE2893" w:rsidRPr="00525577" w:rsidRDefault="00CE2893" w:rsidP="00225DB4">
            <w:pPr>
              <w:rPr>
                <w:rFonts w:eastAsia="Calibri"/>
                <w:sz w:val="24"/>
                <w:szCs w:val="24"/>
              </w:rPr>
            </w:pPr>
          </w:p>
        </w:tc>
        <w:tc>
          <w:tcPr>
            <w:tcW w:w="1772" w:type="dxa"/>
          </w:tcPr>
          <w:p w14:paraId="377AEE3C" w14:textId="77777777" w:rsidR="00CE2893" w:rsidRPr="00525577" w:rsidRDefault="00CE2893" w:rsidP="00225DB4">
            <w:pPr>
              <w:rPr>
                <w:rFonts w:cstheme="minorHAnsi"/>
                <w:sz w:val="24"/>
                <w:szCs w:val="24"/>
              </w:rPr>
            </w:pPr>
          </w:p>
        </w:tc>
        <w:tc>
          <w:tcPr>
            <w:tcW w:w="3557" w:type="dxa"/>
          </w:tcPr>
          <w:p w14:paraId="74C102DE" w14:textId="6F380CA5" w:rsidR="00CE2893" w:rsidRPr="00525577" w:rsidRDefault="00CE2893" w:rsidP="00225DB4">
            <w:pPr>
              <w:jc w:val="center"/>
              <w:rPr>
                <w:rFonts w:cstheme="minorHAnsi"/>
                <w:b/>
                <w:bCs/>
                <w:color w:val="FF0000"/>
                <w:sz w:val="24"/>
                <w:szCs w:val="24"/>
              </w:rPr>
            </w:pPr>
          </w:p>
        </w:tc>
      </w:tr>
      <w:tr w:rsidR="00CE2893" w:rsidRPr="00525577" w14:paraId="061F4DCE" w14:textId="2B97E228" w:rsidTr="00B72B6A">
        <w:tc>
          <w:tcPr>
            <w:tcW w:w="926" w:type="dxa"/>
          </w:tcPr>
          <w:p w14:paraId="4EA0204D" w14:textId="2EBD042C" w:rsidR="00CE2893" w:rsidRPr="00525577" w:rsidRDefault="00E529B8" w:rsidP="00225DB4">
            <w:pPr>
              <w:rPr>
                <w:rFonts w:cstheme="minorHAnsi"/>
                <w:sz w:val="24"/>
                <w:szCs w:val="24"/>
              </w:rPr>
            </w:pPr>
            <w:r w:rsidRPr="00525577">
              <w:rPr>
                <w:sz w:val="24"/>
                <w:szCs w:val="24"/>
              </w:rPr>
              <w:lastRenderedPageBreak/>
              <w:t>12.5</w:t>
            </w:r>
          </w:p>
        </w:tc>
        <w:tc>
          <w:tcPr>
            <w:tcW w:w="3547" w:type="dxa"/>
          </w:tcPr>
          <w:p w14:paraId="70041C76" w14:textId="6500B96F" w:rsidR="00CE2893" w:rsidRPr="00525577" w:rsidRDefault="00CE2893" w:rsidP="00225DB4">
            <w:pPr>
              <w:rPr>
                <w:rFonts w:cstheme="minorHAnsi"/>
                <w:sz w:val="24"/>
                <w:szCs w:val="24"/>
              </w:rPr>
            </w:pPr>
            <w:r w:rsidRPr="00525577">
              <w:rPr>
                <w:rFonts w:eastAsia="Calibri" w:cstheme="minorHAnsi"/>
                <w:sz w:val="24"/>
                <w:szCs w:val="24"/>
              </w:rPr>
              <w:t>An Incident Response plan is in place to address and respond to security incidents,</w:t>
            </w:r>
          </w:p>
        </w:tc>
        <w:tc>
          <w:tcPr>
            <w:tcW w:w="2615" w:type="dxa"/>
            <w:vMerge/>
          </w:tcPr>
          <w:p w14:paraId="68C4C9AF" w14:textId="77777777" w:rsidR="00CE2893" w:rsidRPr="00525577" w:rsidRDefault="00CE2893" w:rsidP="00225DB4">
            <w:pPr>
              <w:rPr>
                <w:rFonts w:cstheme="minorHAnsi"/>
                <w:sz w:val="24"/>
                <w:szCs w:val="24"/>
              </w:rPr>
            </w:pPr>
          </w:p>
        </w:tc>
        <w:tc>
          <w:tcPr>
            <w:tcW w:w="1846" w:type="dxa"/>
          </w:tcPr>
          <w:p w14:paraId="607A314A" w14:textId="77777777" w:rsidR="00CE2893" w:rsidRPr="00525577" w:rsidRDefault="00CE2893" w:rsidP="00225DB4">
            <w:pPr>
              <w:rPr>
                <w:rFonts w:cstheme="minorHAnsi"/>
                <w:sz w:val="24"/>
                <w:szCs w:val="24"/>
              </w:rPr>
            </w:pPr>
          </w:p>
        </w:tc>
        <w:tc>
          <w:tcPr>
            <w:tcW w:w="1772" w:type="dxa"/>
          </w:tcPr>
          <w:p w14:paraId="4AC1C13E" w14:textId="77777777" w:rsidR="00CE2893" w:rsidRPr="00525577" w:rsidRDefault="00CE2893" w:rsidP="00225DB4">
            <w:pPr>
              <w:rPr>
                <w:rFonts w:cstheme="minorHAnsi"/>
                <w:sz w:val="24"/>
                <w:szCs w:val="24"/>
              </w:rPr>
            </w:pPr>
          </w:p>
        </w:tc>
        <w:tc>
          <w:tcPr>
            <w:tcW w:w="3557" w:type="dxa"/>
          </w:tcPr>
          <w:p w14:paraId="7CCBD465" w14:textId="217A6316" w:rsidR="00CE2893" w:rsidRPr="00525577" w:rsidRDefault="00CE2893" w:rsidP="00225DB4">
            <w:pPr>
              <w:jc w:val="center"/>
              <w:rPr>
                <w:rFonts w:cstheme="minorHAnsi"/>
                <w:b/>
                <w:bCs/>
                <w:color w:val="FF0000"/>
                <w:sz w:val="24"/>
                <w:szCs w:val="24"/>
              </w:rPr>
            </w:pPr>
          </w:p>
        </w:tc>
      </w:tr>
      <w:tr w:rsidR="00CE2893" w:rsidRPr="00525577" w14:paraId="10767D42" w14:textId="32A02BEA" w:rsidTr="00B72B6A">
        <w:tc>
          <w:tcPr>
            <w:tcW w:w="926" w:type="dxa"/>
          </w:tcPr>
          <w:p w14:paraId="0E0DE42C" w14:textId="1073DDB5" w:rsidR="00CE2893" w:rsidRPr="00525577" w:rsidRDefault="22C281F7" w:rsidP="00225DB4">
            <w:pPr>
              <w:rPr>
                <w:rFonts w:cstheme="minorHAnsi"/>
                <w:sz w:val="24"/>
                <w:szCs w:val="24"/>
              </w:rPr>
            </w:pPr>
            <w:r w:rsidRPr="00525577">
              <w:rPr>
                <w:sz w:val="24"/>
                <w:szCs w:val="24"/>
              </w:rPr>
              <w:t>12.6</w:t>
            </w:r>
          </w:p>
        </w:tc>
        <w:tc>
          <w:tcPr>
            <w:tcW w:w="3547" w:type="dxa"/>
          </w:tcPr>
          <w:p w14:paraId="45F735A4" w14:textId="26F21C99" w:rsidR="00CE2893" w:rsidRPr="00525577" w:rsidRDefault="00CE2893" w:rsidP="00225DB4">
            <w:pPr>
              <w:rPr>
                <w:rFonts w:cstheme="minorHAnsi"/>
                <w:sz w:val="24"/>
                <w:szCs w:val="24"/>
              </w:rPr>
            </w:pPr>
            <w:r w:rsidRPr="00525577">
              <w:rPr>
                <w:rFonts w:eastAsia="Calibri" w:cstheme="minorHAnsi"/>
                <w:sz w:val="24"/>
                <w:szCs w:val="24"/>
              </w:rPr>
              <w:t>Breach identification and notification</w:t>
            </w:r>
            <w:proofErr w:type="gramStart"/>
            <w:r w:rsidRPr="00525577">
              <w:rPr>
                <w:rFonts w:eastAsia="Calibri" w:cstheme="minorHAnsi"/>
                <w:sz w:val="24"/>
                <w:szCs w:val="24"/>
              </w:rPr>
              <w:t>:  Following</w:t>
            </w:r>
            <w:proofErr w:type="gramEnd"/>
            <w:r w:rsidRPr="00525577">
              <w:rPr>
                <w:rFonts w:eastAsia="Calibri" w:cstheme="minorHAnsi"/>
                <w:sz w:val="24"/>
                <w:szCs w:val="24"/>
              </w:rPr>
              <w:t xml:space="preserve"> the discovery of a breach of unsecured PHI,</w:t>
            </w:r>
            <w:r w:rsidR="005E3CD0" w:rsidRPr="00525577">
              <w:rPr>
                <w:rFonts w:eastAsia="Calibri" w:cstheme="minorHAnsi"/>
                <w:sz w:val="24"/>
                <w:szCs w:val="24"/>
              </w:rPr>
              <w:t xml:space="preserve"> the CMHSP notifies all relevant parties within the required timeframes/timeline as required.  </w:t>
            </w:r>
            <w:r w:rsidRPr="00525577">
              <w:rPr>
                <w:rFonts w:eastAsia="Calibri" w:cstheme="minorHAnsi"/>
                <w:sz w:val="24"/>
                <w:szCs w:val="24"/>
              </w:rPr>
              <w:t>Additionally, the CMHSP must provide timeline notification of a breach: Except as provided in 45 CFR 164.412 (law enforcement delay,) the covered entity provides notification to individuals affected by a breach without unreasonable delay and in no case later than sixty (60) calendar days after discovery of a breach [45 CFR §164.404(b)]</w:t>
            </w:r>
          </w:p>
        </w:tc>
        <w:tc>
          <w:tcPr>
            <w:tcW w:w="2615" w:type="dxa"/>
          </w:tcPr>
          <w:p w14:paraId="63E452B7" w14:textId="7E45ECAA" w:rsidR="00394F04" w:rsidRPr="00525577" w:rsidRDefault="00CE2893" w:rsidP="00225DB4">
            <w:pPr>
              <w:rPr>
                <w:rFonts w:eastAsia="Calibri"/>
                <w:sz w:val="24"/>
                <w:szCs w:val="24"/>
              </w:rPr>
            </w:pPr>
            <w:r w:rsidRPr="00525577">
              <w:rPr>
                <w:rFonts w:eastAsia="Calibri"/>
                <w:sz w:val="24"/>
                <w:szCs w:val="24"/>
              </w:rPr>
              <w:t xml:space="preserve">45 CFR §164.404   </w:t>
            </w:r>
          </w:p>
          <w:p w14:paraId="37D19D42" w14:textId="08108664" w:rsidR="00CE2893" w:rsidRPr="00525577" w:rsidRDefault="00CE2893" w:rsidP="00225DB4">
            <w:pPr>
              <w:rPr>
                <w:rFonts w:eastAsia="Calibri"/>
                <w:sz w:val="24"/>
                <w:szCs w:val="24"/>
              </w:rPr>
            </w:pPr>
            <w:r w:rsidRPr="00525577">
              <w:rPr>
                <w:rFonts w:eastAsia="Calibri"/>
                <w:sz w:val="24"/>
                <w:szCs w:val="24"/>
              </w:rPr>
              <w:t>45 CFR §164.404</w:t>
            </w:r>
          </w:p>
        </w:tc>
        <w:tc>
          <w:tcPr>
            <w:tcW w:w="1846" w:type="dxa"/>
          </w:tcPr>
          <w:p w14:paraId="7F8ACE28" w14:textId="77777777" w:rsidR="00CE2893" w:rsidRPr="00525577" w:rsidRDefault="00CE2893" w:rsidP="00225DB4">
            <w:pPr>
              <w:rPr>
                <w:rFonts w:cstheme="minorHAnsi"/>
                <w:sz w:val="24"/>
                <w:szCs w:val="24"/>
              </w:rPr>
            </w:pPr>
          </w:p>
        </w:tc>
        <w:tc>
          <w:tcPr>
            <w:tcW w:w="1772" w:type="dxa"/>
          </w:tcPr>
          <w:p w14:paraId="0B13C4ED" w14:textId="664A5256" w:rsidR="00CE2893" w:rsidRPr="00525577" w:rsidRDefault="005E3CD0" w:rsidP="00225DB4">
            <w:pPr>
              <w:rPr>
                <w:rFonts w:cstheme="minorHAnsi"/>
                <w:sz w:val="24"/>
                <w:szCs w:val="24"/>
              </w:rPr>
            </w:pPr>
            <w:r w:rsidRPr="00525577">
              <w:rPr>
                <w:rFonts w:eastAsia="Calibri" w:cstheme="minorHAnsi"/>
                <w:sz w:val="24"/>
                <w:szCs w:val="24"/>
              </w:rPr>
              <w:t xml:space="preserve">Following the discovery of a breach of unsecured PHI, </w:t>
            </w:r>
            <w:proofErr w:type="gramStart"/>
            <w:r w:rsidRPr="00525577">
              <w:rPr>
                <w:rFonts w:eastAsia="Calibri" w:cstheme="minorHAnsi"/>
                <w:sz w:val="24"/>
                <w:szCs w:val="24"/>
              </w:rPr>
              <w:t>each individual</w:t>
            </w:r>
            <w:proofErr w:type="gramEnd"/>
            <w:r w:rsidRPr="00525577">
              <w:rPr>
                <w:rFonts w:eastAsia="Calibri" w:cstheme="minorHAnsi"/>
                <w:sz w:val="24"/>
                <w:szCs w:val="24"/>
              </w:rPr>
              <w:t xml:space="preserve"> whose unsecured PHI has been (or is reasonably believed by the CMHSP to have been) accessed, acquired, used, or disclosed </w:t>
            </w:r>
            <w:proofErr w:type="gramStart"/>
            <w:r w:rsidRPr="00525577">
              <w:rPr>
                <w:rFonts w:eastAsia="Calibri" w:cstheme="minorHAnsi"/>
                <w:sz w:val="24"/>
                <w:szCs w:val="24"/>
              </w:rPr>
              <w:t>as a result of</w:t>
            </w:r>
            <w:proofErr w:type="gramEnd"/>
            <w:r w:rsidRPr="00525577">
              <w:rPr>
                <w:rFonts w:eastAsia="Calibri" w:cstheme="minorHAnsi"/>
                <w:sz w:val="24"/>
                <w:szCs w:val="24"/>
              </w:rPr>
              <w:t xml:space="preserve"> such breach is notified. The </w:t>
            </w:r>
            <w:r w:rsidRPr="00525577">
              <w:rPr>
                <w:rFonts w:eastAsia="Calibri" w:cstheme="minorHAnsi"/>
                <w:sz w:val="24"/>
                <w:szCs w:val="24"/>
              </w:rPr>
              <w:lastRenderedPageBreak/>
              <w:t xml:space="preserve">process must include that the breach will be treated as discovered by the CMHSP as of the first day on which the breach is known to the CMHSP, or, by exercising reasonable diligence would have been known to the covered entity. Additionally, the CMHSP will be deemed to </w:t>
            </w:r>
            <w:r w:rsidRPr="00525577">
              <w:rPr>
                <w:rFonts w:eastAsia="Calibri" w:cstheme="minorHAnsi"/>
                <w:sz w:val="24"/>
                <w:szCs w:val="24"/>
              </w:rPr>
              <w:lastRenderedPageBreak/>
              <w:t xml:space="preserve">have knowledge of a breach if the breach is known, or by exercising reasonable diligence would have been known, to any person, other than the person committing the breach, who is a workforce member or agent of the covered entity (determined in </w:t>
            </w:r>
            <w:r w:rsidRPr="00525577">
              <w:rPr>
                <w:rFonts w:eastAsia="Calibri" w:cstheme="minorHAnsi"/>
                <w:sz w:val="24"/>
                <w:szCs w:val="24"/>
              </w:rPr>
              <w:lastRenderedPageBreak/>
              <w:t xml:space="preserve">accordance with the federal common law of agency).   Additionally, the CMHSP must provide timeline notification of a breach: Except as provided in 45 CFR 164.412 (law enforcement delay,) the covered entity provides notification to individuals </w:t>
            </w:r>
            <w:r w:rsidRPr="00525577">
              <w:rPr>
                <w:rFonts w:eastAsia="Calibri" w:cstheme="minorHAnsi"/>
                <w:sz w:val="24"/>
                <w:szCs w:val="24"/>
              </w:rPr>
              <w:lastRenderedPageBreak/>
              <w:t>affected by a breach without unreasonable delay and in no case later than sixty (60) calendar days after discovery of a breach [45 CFR §164.404(b)]</w:t>
            </w:r>
          </w:p>
        </w:tc>
        <w:tc>
          <w:tcPr>
            <w:tcW w:w="3557" w:type="dxa"/>
          </w:tcPr>
          <w:p w14:paraId="45C18859" w14:textId="6DFD1779" w:rsidR="00CE2893" w:rsidRPr="00525577" w:rsidRDefault="00CE2893" w:rsidP="00225DB4">
            <w:pPr>
              <w:jc w:val="center"/>
              <w:rPr>
                <w:rFonts w:cstheme="minorHAnsi"/>
                <w:b/>
                <w:bCs/>
                <w:color w:val="FF0000"/>
                <w:sz w:val="24"/>
                <w:szCs w:val="24"/>
              </w:rPr>
            </w:pPr>
          </w:p>
        </w:tc>
      </w:tr>
      <w:tr w:rsidR="00CE2893" w:rsidRPr="00525577" w14:paraId="3E530F79" w14:textId="2C989E18" w:rsidTr="00B72B6A">
        <w:tc>
          <w:tcPr>
            <w:tcW w:w="926" w:type="dxa"/>
          </w:tcPr>
          <w:p w14:paraId="7D4B1E0D" w14:textId="4C3262B1" w:rsidR="00CE2893" w:rsidRPr="00525577" w:rsidRDefault="00E529B8" w:rsidP="00225DB4">
            <w:pPr>
              <w:rPr>
                <w:rFonts w:cstheme="minorHAnsi"/>
                <w:sz w:val="24"/>
                <w:szCs w:val="24"/>
              </w:rPr>
            </w:pPr>
            <w:r w:rsidRPr="00525577">
              <w:rPr>
                <w:sz w:val="24"/>
                <w:szCs w:val="24"/>
              </w:rPr>
              <w:lastRenderedPageBreak/>
              <w:t>12.7</w:t>
            </w:r>
          </w:p>
        </w:tc>
        <w:tc>
          <w:tcPr>
            <w:tcW w:w="3547" w:type="dxa"/>
          </w:tcPr>
          <w:p w14:paraId="45CCC751" w14:textId="4DB9F3C2" w:rsidR="00CE2893" w:rsidRPr="00525577" w:rsidRDefault="00CE2893" w:rsidP="00C73BFC">
            <w:pPr>
              <w:rPr>
                <w:rFonts w:eastAsia="Calibri"/>
                <w:sz w:val="24"/>
                <w:szCs w:val="24"/>
              </w:rPr>
            </w:pPr>
            <w:r w:rsidRPr="00525577">
              <w:rPr>
                <w:rFonts w:eastAsia="Calibri" w:cstheme="minorHAnsi"/>
                <w:sz w:val="24"/>
                <w:szCs w:val="24"/>
              </w:rPr>
              <w:t>Breach notification content and delivery:   The notification is written in plain language, and includes, to the extent possible:</w:t>
            </w:r>
          </w:p>
        </w:tc>
        <w:tc>
          <w:tcPr>
            <w:tcW w:w="2615" w:type="dxa"/>
            <w:vMerge w:val="restart"/>
          </w:tcPr>
          <w:p w14:paraId="625C6576" w14:textId="77777777" w:rsidR="00E529B8" w:rsidRPr="00525577" w:rsidRDefault="00CE2893" w:rsidP="00225DB4">
            <w:pPr>
              <w:rPr>
                <w:rFonts w:eastAsia="Calibri" w:cstheme="minorHAnsi"/>
                <w:sz w:val="24"/>
                <w:szCs w:val="24"/>
              </w:rPr>
            </w:pPr>
            <w:r w:rsidRPr="00525577">
              <w:rPr>
                <w:rFonts w:eastAsia="Calibri" w:cstheme="minorHAnsi"/>
                <w:sz w:val="24"/>
                <w:szCs w:val="24"/>
              </w:rPr>
              <w:t xml:space="preserve">45 CFR §164.404(c)(2), </w:t>
            </w:r>
          </w:p>
          <w:p w14:paraId="74447A7E" w14:textId="47B4BE24" w:rsidR="00E529B8" w:rsidRPr="00525577" w:rsidRDefault="00CE2893" w:rsidP="00225DB4">
            <w:pPr>
              <w:rPr>
                <w:rFonts w:eastAsia="Calibri" w:cstheme="minorHAnsi"/>
                <w:sz w:val="24"/>
                <w:szCs w:val="24"/>
              </w:rPr>
            </w:pPr>
            <w:r w:rsidRPr="00525577">
              <w:rPr>
                <w:rFonts w:eastAsia="Calibri" w:cstheme="minorHAnsi"/>
                <w:sz w:val="24"/>
                <w:szCs w:val="24"/>
              </w:rPr>
              <w:t>45 CFR §164.404(c)(1</w:t>
            </w:r>
            <w:r w:rsidR="00E529B8" w:rsidRPr="00525577">
              <w:rPr>
                <w:rFonts w:eastAsia="Calibri" w:cstheme="minorHAnsi"/>
                <w:sz w:val="24"/>
                <w:szCs w:val="24"/>
              </w:rPr>
              <w:t>) (</w:t>
            </w:r>
            <w:r w:rsidRPr="00525577">
              <w:rPr>
                <w:rFonts w:eastAsia="Calibri" w:cstheme="minorHAnsi"/>
                <w:sz w:val="24"/>
                <w:szCs w:val="24"/>
              </w:rPr>
              <w:t>A-E),</w:t>
            </w:r>
          </w:p>
          <w:p w14:paraId="086B0933" w14:textId="7BEF540D" w:rsidR="00E529B8" w:rsidRPr="00525577" w:rsidRDefault="00CE2893" w:rsidP="00225DB4">
            <w:pPr>
              <w:rPr>
                <w:rFonts w:eastAsia="Calibri" w:cstheme="minorHAnsi"/>
                <w:sz w:val="24"/>
                <w:szCs w:val="24"/>
              </w:rPr>
            </w:pPr>
            <w:r w:rsidRPr="00525577">
              <w:rPr>
                <w:rFonts w:eastAsia="Calibri" w:cstheme="minorHAnsi"/>
                <w:sz w:val="24"/>
                <w:szCs w:val="24"/>
              </w:rPr>
              <w:t>45 CFR §164.404(d)(1</w:t>
            </w:r>
            <w:r w:rsidR="00E529B8" w:rsidRPr="00525577">
              <w:rPr>
                <w:rFonts w:eastAsia="Calibri" w:cstheme="minorHAnsi"/>
                <w:sz w:val="24"/>
                <w:szCs w:val="24"/>
              </w:rPr>
              <w:t>) (</w:t>
            </w:r>
            <w:proofErr w:type="spellStart"/>
            <w:r w:rsidRPr="00525577">
              <w:rPr>
                <w:rFonts w:eastAsia="Calibri" w:cstheme="minorHAnsi"/>
                <w:sz w:val="24"/>
                <w:szCs w:val="24"/>
              </w:rPr>
              <w:t>i</w:t>
            </w:r>
            <w:proofErr w:type="spellEnd"/>
            <w:r w:rsidRPr="00525577">
              <w:rPr>
                <w:rFonts w:eastAsia="Calibri" w:cstheme="minorHAnsi"/>
                <w:sz w:val="24"/>
                <w:szCs w:val="24"/>
              </w:rPr>
              <w:t xml:space="preserve">-ii), </w:t>
            </w:r>
          </w:p>
          <w:p w14:paraId="5C074C29" w14:textId="34D91E45" w:rsidR="00CE2893" w:rsidRPr="00525577" w:rsidRDefault="00CE2893" w:rsidP="00225DB4">
            <w:pPr>
              <w:rPr>
                <w:rFonts w:cstheme="minorHAnsi"/>
                <w:sz w:val="24"/>
                <w:szCs w:val="24"/>
              </w:rPr>
            </w:pPr>
            <w:r w:rsidRPr="00525577">
              <w:rPr>
                <w:rFonts w:eastAsia="Calibri" w:cstheme="minorHAnsi"/>
                <w:sz w:val="24"/>
                <w:szCs w:val="24"/>
              </w:rPr>
              <w:t xml:space="preserve">45 CFR §164.502(g)(4) of subpart E  </w:t>
            </w:r>
          </w:p>
        </w:tc>
        <w:tc>
          <w:tcPr>
            <w:tcW w:w="1846" w:type="dxa"/>
          </w:tcPr>
          <w:p w14:paraId="1F01A3A7" w14:textId="77777777" w:rsidR="00CE2893" w:rsidRPr="00525577" w:rsidRDefault="00CE2893" w:rsidP="00225DB4">
            <w:pPr>
              <w:rPr>
                <w:rFonts w:cstheme="minorHAnsi"/>
                <w:sz w:val="24"/>
                <w:szCs w:val="24"/>
              </w:rPr>
            </w:pPr>
          </w:p>
        </w:tc>
        <w:tc>
          <w:tcPr>
            <w:tcW w:w="1772" w:type="dxa"/>
          </w:tcPr>
          <w:p w14:paraId="1CF00095" w14:textId="77777777" w:rsidR="00CE2893" w:rsidRPr="00525577" w:rsidRDefault="00CE2893" w:rsidP="00225DB4">
            <w:pPr>
              <w:rPr>
                <w:rFonts w:cstheme="minorHAnsi"/>
                <w:sz w:val="24"/>
                <w:szCs w:val="24"/>
              </w:rPr>
            </w:pPr>
          </w:p>
        </w:tc>
        <w:tc>
          <w:tcPr>
            <w:tcW w:w="3557" w:type="dxa"/>
          </w:tcPr>
          <w:p w14:paraId="75F5B770" w14:textId="763BC4E2" w:rsidR="00CE2893" w:rsidRPr="00525577" w:rsidRDefault="00CE2893" w:rsidP="00225DB4">
            <w:pPr>
              <w:jc w:val="center"/>
              <w:rPr>
                <w:rFonts w:cstheme="minorHAnsi"/>
                <w:b/>
                <w:bCs/>
                <w:color w:val="FF0000"/>
                <w:sz w:val="24"/>
                <w:szCs w:val="24"/>
              </w:rPr>
            </w:pPr>
          </w:p>
        </w:tc>
      </w:tr>
      <w:tr w:rsidR="00240C3C" w:rsidRPr="00525577" w14:paraId="30911EB4" w14:textId="77777777" w:rsidTr="00B72B6A">
        <w:tc>
          <w:tcPr>
            <w:tcW w:w="926" w:type="dxa"/>
          </w:tcPr>
          <w:p w14:paraId="319E7DEB" w14:textId="6A26F379" w:rsidR="00240C3C" w:rsidRPr="00525577" w:rsidRDefault="00240C3C" w:rsidP="00225DB4">
            <w:pPr>
              <w:rPr>
                <w:sz w:val="24"/>
                <w:szCs w:val="24"/>
              </w:rPr>
            </w:pPr>
            <w:r w:rsidRPr="00525577">
              <w:rPr>
                <w:sz w:val="24"/>
                <w:szCs w:val="24"/>
              </w:rPr>
              <w:t>12.7a</w:t>
            </w:r>
          </w:p>
        </w:tc>
        <w:tc>
          <w:tcPr>
            <w:tcW w:w="3547" w:type="dxa"/>
            <w:tcBorders>
              <w:bottom w:val="single" w:sz="4" w:space="0" w:color="auto"/>
            </w:tcBorders>
          </w:tcPr>
          <w:p w14:paraId="121F4097" w14:textId="77777777" w:rsidR="00240C3C" w:rsidRPr="00525577" w:rsidRDefault="00240C3C" w:rsidP="00225DB4">
            <w:pPr>
              <w:rPr>
                <w:rFonts w:eastAsia="Calibri"/>
                <w:sz w:val="24"/>
                <w:szCs w:val="24"/>
              </w:rPr>
            </w:pPr>
            <w:r w:rsidRPr="00525577">
              <w:rPr>
                <w:rFonts w:eastAsia="Calibri"/>
                <w:sz w:val="24"/>
                <w:szCs w:val="24"/>
              </w:rPr>
              <w:t>a</w:t>
            </w:r>
            <w:proofErr w:type="gramStart"/>
            <w:r w:rsidRPr="00525577">
              <w:rPr>
                <w:rFonts w:eastAsia="Calibri"/>
                <w:sz w:val="24"/>
                <w:szCs w:val="24"/>
              </w:rPr>
              <w:t xml:space="preserve">. </w:t>
            </w:r>
            <w:r w:rsidRPr="00525577">
              <w:rPr>
                <w:sz w:val="24"/>
                <w:szCs w:val="24"/>
              </w:rPr>
              <w:tab/>
            </w:r>
            <w:r w:rsidRPr="00525577">
              <w:rPr>
                <w:rFonts w:eastAsia="Calibri"/>
                <w:sz w:val="24"/>
                <w:szCs w:val="24"/>
              </w:rPr>
              <w:t>A</w:t>
            </w:r>
            <w:proofErr w:type="gramEnd"/>
            <w:r w:rsidRPr="00525577">
              <w:rPr>
                <w:rFonts w:eastAsia="Calibri"/>
                <w:sz w:val="24"/>
                <w:szCs w:val="24"/>
              </w:rPr>
              <w:t xml:space="preserve"> brief description of what happened, including the date of the breach and the date of the discovery of the breach, if known.</w:t>
            </w:r>
          </w:p>
          <w:p w14:paraId="285168D4" w14:textId="77777777" w:rsidR="00240C3C" w:rsidRPr="00525577" w:rsidRDefault="00240C3C" w:rsidP="00225DB4">
            <w:pPr>
              <w:rPr>
                <w:rFonts w:eastAsia="Calibri" w:cstheme="minorHAnsi"/>
                <w:sz w:val="24"/>
                <w:szCs w:val="24"/>
              </w:rPr>
            </w:pPr>
          </w:p>
        </w:tc>
        <w:tc>
          <w:tcPr>
            <w:tcW w:w="2615" w:type="dxa"/>
            <w:vMerge/>
          </w:tcPr>
          <w:p w14:paraId="562F594B" w14:textId="77777777" w:rsidR="00240C3C" w:rsidRPr="00525577" w:rsidRDefault="00240C3C" w:rsidP="00225DB4">
            <w:pPr>
              <w:rPr>
                <w:rFonts w:eastAsia="Calibri" w:cstheme="minorHAnsi"/>
                <w:sz w:val="24"/>
                <w:szCs w:val="24"/>
              </w:rPr>
            </w:pPr>
          </w:p>
        </w:tc>
        <w:tc>
          <w:tcPr>
            <w:tcW w:w="1846" w:type="dxa"/>
          </w:tcPr>
          <w:p w14:paraId="718168A3" w14:textId="77777777" w:rsidR="00240C3C" w:rsidRPr="00525577" w:rsidRDefault="00240C3C" w:rsidP="00225DB4">
            <w:pPr>
              <w:rPr>
                <w:rFonts w:cstheme="minorHAnsi"/>
                <w:sz w:val="24"/>
                <w:szCs w:val="24"/>
              </w:rPr>
            </w:pPr>
          </w:p>
        </w:tc>
        <w:tc>
          <w:tcPr>
            <w:tcW w:w="1772" w:type="dxa"/>
          </w:tcPr>
          <w:p w14:paraId="0C981F9E" w14:textId="77777777" w:rsidR="00240C3C" w:rsidRPr="00525577" w:rsidRDefault="00240C3C" w:rsidP="00225DB4">
            <w:pPr>
              <w:rPr>
                <w:rFonts w:cstheme="minorHAnsi"/>
                <w:sz w:val="24"/>
                <w:szCs w:val="24"/>
              </w:rPr>
            </w:pPr>
          </w:p>
        </w:tc>
        <w:tc>
          <w:tcPr>
            <w:tcW w:w="3557" w:type="dxa"/>
          </w:tcPr>
          <w:p w14:paraId="4301A12D" w14:textId="3185D4A6" w:rsidR="00240C3C" w:rsidRPr="00525577" w:rsidRDefault="00240C3C" w:rsidP="00225DB4">
            <w:pPr>
              <w:jc w:val="center"/>
              <w:rPr>
                <w:rFonts w:cstheme="minorHAnsi"/>
                <w:b/>
                <w:bCs/>
                <w:color w:val="FF0000"/>
                <w:sz w:val="24"/>
                <w:szCs w:val="24"/>
              </w:rPr>
            </w:pPr>
          </w:p>
        </w:tc>
      </w:tr>
      <w:tr w:rsidR="00E529B8" w:rsidRPr="00525577" w14:paraId="0548A50A" w14:textId="77777777" w:rsidTr="00B72B6A">
        <w:tc>
          <w:tcPr>
            <w:tcW w:w="926" w:type="dxa"/>
          </w:tcPr>
          <w:p w14:paraId="1D9AC851" w14:textId="37629C92" w:rsidR="00E529B8" w:rsidRPr="00525577" w:rsidRDefault="00E529B8" w:rsidP="00225DB4">
            <w:pPr>
              <w:rPr>
                <w:sz w:val="24"/>
                <w:szCs w:val="24"/>
              </w:rPr>
            </w:pPr>
            <w:r w:rsidRPr="00525577">
              <w:rPr>
                <w:sz w:val="24"/>
                <w:szCs w:val="24"/>
              </w:rPr>
              <w:lastRenderedPageBreak/>
              <w:t>12.7b</w:t>
            </w:r>
          </w:p>
        </w:tc>
        <w:tc>
          <w:tcPr>
            <w:tcW w:w="3547" w:type="dxa"/>
          </w:tcPr>
          <w:p w14:paraId="45B61415" w14:textId="74690210" w:rsidR="00E529B8" w:rsidRPr="00525577" w:rsidRDefault="00E529B8" w:rsidP="00C73BFC">
            <w:pPr>
              <w:rPr>
                <w:rFonts w:eastAsia="Calibri"/>
                <w:sz w:val="24"/>
                <w:szCs w:val="24"/>
              </w:rPr>
            </w:pPr>
            <w:r w:rsidRPr="00525577">
              <w:rPr>
                <w:rFonts w:eastAsia="Calibri"/>
                <w:sz w:val="24"/>
                <w:szCs w:val="24"/>
              </w:rPr>
              <w:t>b</w:t>
            </w:r>
            <w:proofErr w:type="gramStart"/>
            <w:r w:rsidRPr="00525577">
              <w:rPr>
                <w:rFonts w:eastAsia="Calibri"/>
                <w:sz w:val="24"/>
                <w:szCs w:val="24"/>
              </w:rPr>
              <w:t xml:space="preserve">. </w:t>
            </w:r>
            <w:r w:rsidRPr="00525577">
              <w:rPr>
                <w:sz w:val="24"/>
                <w:szCs w:val="24"/>
              </w:rPr>
              <w:tab/>
            </w:r>
            <w:r w:rsidRPr="00525577">
              <w:rPr>
                <w:rFonts w:eastAsia="Calibri"/>
                <w:sz w:val="24"/>
                <w:szCs w:val="24"/>
              </w:rPr>
              <w:t>A</w:t>
            </w:r>
            <w:proofErr w:type="gramEnd"/>
            <w:r w:rsidRPr="00525577">
              <w:rPr>
                <w:rFonts w:eastAsia="Calibri"/>
                <w:sz w:val="24"/>
                <w:szCs w:val="24"/>
              </w:rPr>
              <w:t xml:space="preserve"> description of the types of unsecured protected health information that were involved in the breach (such as whether full name, social security number, date of birth, home address, account number, diagnosis, disability code, or other types of information were involved).</w:t>
            </w:r>
          </w:p>
        </w:tc>
        <w:tc>
          <w:tcPr>
            <w:tcW w:w="2615" w:type="dxa"/>
            <w:vMerge/>
          </w:tcPr>
          <w:p w14:paraId="4BB774AF" w14:textId="38C24F80" w:rsidR="00E529B8" w:rsidRPr="00525577" w:rsidRDefault="00E529B8" w:rsidP="00225DB4">
            <w:pPr>
              <w:rPr>
                <w:rFonts w:eastAsia="Calibri"/>
                <w:sz w:val="24"/>
                <w:szCs w:val="24"/>
              </w:rPr>
            </w:pPr>
          </w:p>
        </w:tc>
        <w:tc>
          <w:tcPr>
            <w:tcW w:w="1846" w:type="dxa"/>
          </w:tcPr>
          <w:p w14:paraId="622EE1FD" w14:textId="5CDD8835" w:rsidR="00E529B8" w:rsidRPr="00525577" w:rsidRDefault="00E529B8" w:rsidP="00225DB4">
            <w:pPr>
              <w:rPr>
                <w:sz w:val="24"/>
                <w:szCs w:val="24"/>
              </w:rPr>
            </w:pPr>
          </w:p>
        </w:tc>
        <w:tc>
          <w:tcPr>
            <w:tcW w:w="1772" w:type="dxa"/>
          </w:tcPr>
          <w:p w14:paraId="6EE7BBC6" w14:textId="2D5A2826" w:rsidR="00E529B8" w:rsidRPr="00525577" w:rsidRDefault="00E529B8" w:rsidP="00225DB4">
            <w:pPr>
              <w:rPr>
                <w:sz w:val="24"/>
                <w:szCs w:val="24"/>
              </w:rPr>
            </w:pPr>
          </w:p>
        </w:tc>
        <w:tc>
          <w:tcPr>
            <w:tcW w:w="3557" w:type="dxa"/>
          </w:tcPr>
          <w:p w14:paraId="3053642C" w14:textId="54D604DF" w:rsidR="00E529B8" w:rsidRPr="00525577" w:rsidRDefault="00E529B8" w:rsidP="00225DB4">
            <w:pPr>
              <w:jc w:val="center"/>
              <w:rPr>
                <w:b/>
                <w:bCs/>
                <w:color w:val="FF0000"/>
                <w:sz w:val="24"/>
                <w:szCs w:val="24"/>
              </w:rPr>
            </w:pPr>
          </w:p>
        </w:tc>
      </w:tr>
      <w:tr w:rsidR="00E529B8" w:rsidRPr="00525577" w14:paraId="70E6C9C6" w14:textId="77777777" w:rsidTr="00B72B6A">
        <w:tc>
          <w:tcPr>
            <w:tcW w:w="926" w:type="dxa"/>
          </w:tcPr>
          <w:p w14:paraId="5BEEC44E" w14:textId="5F6CFB83" w:rsidR="00E529B8" w:rsidRPr="00525577" w:rsidRDefault="00E529B8" w:rsidP="00225DB4">
            <w:pPr>
              <w:rPr>
                <w:sz w:val="24"/>
                <w:szCs w:val="24"/>
              </w:rPr>
            </w:pPr>
            <w:r w:rsidRPr="00525577">
              <w:rPr>
                <w:sz w:val="24"/>
                <w:szCs w:val="24"/>
              </w:rPr>
              <w:t>12.7c</w:t>
            </w:r>
          </w:p>
        </w:tc>
        <w:tc>
          <w:tcPr>
            <w:tcW w:w="3547" w:type="dxa"/>
          </w:tcPr>
          <w:p w14:paraId="13BF2B28" w14:textId="6F4B3AF0" w:rsidR="00E529B8" w:rsidRPr="00525577" w:rsidRDefault="00E529B8" w:rsidP="00C73BFC">
            <w:pPr>
              <w:rPr>
                <w:rFonts w:eastAsia="Calibri"/>
                <w:sz w:val="24"/>
                <w:szCs w:val="24"/>
              </w:rPr>
            </w:pPr>
            <w:r w:rsidRPr="00525577">
              <w:rPr>
                <w:rFonts w:eastAsia="Calibri"/>
                <w:sz w:val="24"/>
                <w:szCs w:val="24"/>
              </w:rPr>
              <w:t>c</w:t>
            </w:r>
            <w:proofErr w:type="gramStart"/>
            <w:r w:rsidRPr="00525577">
              <w:rPr>
                <w:rFonts w:eastAsia="Calibri"/>
                <w:sz w:val="24"/>
                <w:szCs w:val="24"/>
              </w:rPr>
              <w:t xml:space="preserve">. </w:t>
            </w:r>
            <w:r w:rsidRPr="00525577">
              <w:rPr>
                <w:sz w:val="24"/>
                <w:szCs w:val="24"/>
              </w:rPr>
              <w:tab/>
            </w:r>
            <w:r w:rsidRPr="00525577">
              <w:rPr>
                <w:rFonts w:eastAsia="Calibri"/>
                <w:sz w:val="24"/>
                <w:szCs w:val="24"/>
              </w:rPr>
              <w:t>Any</w:t>
            </w:r>
            <w:proofErr w:type="gramEnd"/>
            <w:r w:rsidRPr="00525577">
              <w:rPr>
                <w:rFonts w:eastAsia="Calibri"/>
                <w:sz w:val="24"/>
                <w:szCs w:val="24"/>
              </w:rPr>
              <w:t xml:space="preserve"> steps individuals should take to protect themselves from potential harm resulting from the breach.</w:t>
            </w:r>
          </w:p>
        </w:tc>
        <w:tc>
          <w:tcPr>
            <w:tcW w:w="2615" w:type="dxa"/>
            <w:vMerge/>
          </w:tcPr>
          <w:p w14:paraId="1B22E206" w14:textId="680E851F" w:rsidR="00E529B8" w:rsidRPr="00525577" w:rsidRDefault="00E529B8" w:rsidP="00225DB4">
            <w:pPr>
              <w:rPr>
                <w:rFonts w:eastAsia="Calibri"/>
                <w:sz w:val="24"/>
                <w:szCs w:val="24"/>
              </w:rPr>
            </w:pPr>
          </w:p>
        </w:tc>
        <w:tc>
          <w:tcPr>
            <w:tcW w:w="1846" w:type="dxa"/>
          </w:tcPr>
          <w:p w14:paraId="068D4AF3" w14:textId="4F41C2BC" w:rsidR="00E529B8" w:rsidRPr="00525577" w:rsidRDefault="00E529B8" w:rsidP="00225DB4">
            <w:pPr>
              <w:rPr>
                <w:sz w:val="24"/>
                <w:szCs w:val="24"/>
              </w:rPr>
            </w:pPr>
          </w:p>
        </w:tc>
        <w:tc>
          <w:tcPr>
            <w:tcW w:w="1772" w:type="dxa"/>
          </w:tcPr>
          <w:p w14:paraId="58A29570" w14:textId="1558FEC5" w:rsidR="00E529B8" w:rsidRPr="00525577" w:rsidRDefault="00E529B8" w:rsidP="00225DB4">
            <w:pPr>
              <w:rPr>
                <w:sz w:val="24"/>
                <w:szCs w:val="24"/>
              </w:rPr>
            </w:pPr>
          </w:p>
        </w:tc>
        <w:tc>
          <w:tcPr>
            <w:tcW w:w="3557" w:type="dxa"/>
          </w:tcPr>
          <w:p w14:paraId="5EC4F01C" w14:textId="5057D6BE" w:rsidR="00E529B8" w:rsidRPr="00525577" w:rsidRDefault="00E529B8" w:rsidP="00225DB4">
            <w:pPr>
              <w:jc w:val="center"/>
              <w:rPr>
                <w:b/>
                <w:bCs/>
                <w:color w:val="FF0000"/>
                <w:sz w:val="24"/>
                <w:szCs w:val="24"/>
              </w:rPr>
            </w:pPr>
          </w:p>
        </w:tc>
      </w:tr>
      <w:tr w:rsidR="00E529B8" w:rsidRPr="00525577" w14:paraId="4A8DCF02" w14:textId="77777777" w:rsidTr="00B72B6A">
        <w:tc>
          <w:tcPr>
            <w:tcW w:w="926" w:type="dxa"/>
          </w:tcPr>
          <w:p w14:paraId="3E605C31" w14:textId="3A49C968" w:rsidR="00E529B8" w:rsidRPr="00525577" w:rsidRDefault="00E529B8" w:rsidP="00225DB4">
            <w:pPr>
              <w:rPr>
                <w:sz w:val="24"/>
                <w:szCs w:val="24"/>
              </w:rPr>
            </w:pPr>
            <w:r w:rsidRPr="00525577">
              <w:rPr>
                <w:sz w:val="24"/>
                <w:szCs w:val="24"/>
              </w:rPr>
              <w:t>12.7d</w:t>
            </w:r>
          </w:p>
        </w:tc>
        <w:tc>
          <w:tcPr>
            <w:tcW w:w="3547" w:type="dxa"/>
          </w:tcPr>
          <w:p w14:paraId="6795C4E0" w14:textId="6DCAF948" w:rsidR="00225DB4" w:rsidRPr="00525577" w:rsidRDefault="00E529B8" w:rsidP="00C73BFC">
            <w:pPr>
              <w:rPr>
                <w:rFonts w:eastAsia="Calibri"/>
                <w:sz w:val="24"/>
                <w:szCs w:val="24"/>
              </w:rPr>
            </w:pPr>
            <w:r w:rsidRPr="00525577">
              <w:rPr>
                <w:rFonts w:eastAsia="Calibri"/>
                <w:sz w:val="24"/>
                <w:szCs w:val="24"/>
              </w:rPr>
              <w:t>d</w:t>
            </w:r>
            <w:proofErr w:type="gramStart"/>
            <w:r w:rsidRPr="00525577">
              <w:rPr>
                <w:rFonts w:eastAsia="Calibri"/>
                <w:sz w:val="24"/>
                <w:szCs w:val="24"/>
              </w:rPr>
              <w:t xml:space="preserve">. </w:t>
            </w:r>
            <w:r w:rsidRPr="00525577">
              <w:rPr>
                <w:sz w:val="24"/>
                <w:szCs w:val="24"/>
              </w:rPr>
              <w:tab/>
            </w:r>
            <w:r w:rsidRPr="00525577">
              <w:rPr>
                <w:rFonts w:eastAsia="Calibri"/>
                <w:sz w:val="24"/>
                <w:szCs w:val="24"/>
              </w:rPr>
              <w:t>A</w:t>
            </w:r>
            <w:proofErr w:type="gramEnd"/>
            <w:r w:rsidRPr="00525577">
              <w:rPr>
                <w:rFonts w:eastAsia="Calibri"/>
                <w:sz w:val="24"/>
                <w:szCs w:val="24"/>
              </w:rPr>
              <w:t xml:space="preserve"> brief description of what the covered entity involved is doing to investigate the breach, to mitigate harm to individuals, and to protect against any further breaches.</w:t>
            </w:r>
          </w:p>
        </w:tc>
        <w:tc>
          <w:tcPr>
            <w:tcW w:w="2615" w:type="dxa"/>
            <w:vMerge/>
          </w:tcPr>
          <w:p w14:paraId="5FCFFFE4" w14:textId="3DEB97AC" w:rsidR="00E529B8" w:rsidRPr="00525577" w:rsidRDefault="00E529B8" w:rsidP="00225DB4">
            <w:pPr>
              <w:rPr>
                <w:rFonts w:eastAsia="Calibri"/>
                <w:sz w:val="24"/>
                <w:szCs w:val="24"/>
              </w:rPr>
            </w:pPr>
          </w:p>
        </w:tc>
        <w:tc>
          <w:tcPr>
            <w:tcW w:w="1846" w:type="dxa"/>
          </w:tcPr>
          <w:p w14:paraId="512AD569" w14:textId="1562C839" w:rsidR="00E529B8" w:rsidRPr="00525577" w:rsidRDefault="00E529B8" w:rsidP="00225DB4">
            <w:pPr>
              <w:rPr>
                <w:sz w:val="24"/>
                <w:szCs w:val="24"/>
              </w:rPr>
            </w:pPr>
          </w:p>
        </w:tc>
        <w:tc>
          <w:tcPr>
            <w:tcW w:w="1772" w:type="dxa"/>
          </w:tcPr>
          <w:p w14:paraId="3CCCFB4F" w14:textId="396DA117" w:rsidR="00E529B8" w:rsidRPr="00525577" w:rsidRDefault="00E529B8" w:rsidP="00225DB4">
            <w:pPr>
              <w:rPr>
                <w:sz w:val="24"/>
                <w:szCs w:val="24"/>
              </w:rPr>
            </w:pPr>
          </w:p>
        </w:tc>
        <w:tc>
          <w:tcPr>
            <w:tcW w:w="3557" w:type="dxa"/>
          </w:tcPr>
          <w:p w14:paraId="300A6AF3" w14:textId="67C37477" w:rsidR="00E529B8" w:rsidRPr="00525577" w:rsidRDefault="00E529B8" w:rsidP="00225DB4">
            <w:pPr>
              <w:jc w:val="center"/>
              <w:rPr>
                <w:b/>
                <w:bCs/>
                <w:color w:val="FF0000"/>
                <w:sz w:val="24"/>
                <w:szCs w:val="24"/>
              </w:rPr>
            </w:pPr>
          </w:p>
        </w:tc>
      </w:tr>
      <w:tr w:rsidR="00E529B8" w:rsidRPr="00525577" w14:paraId="23C6B9AB" w14:textId="77777777" w:rsidTr="00B72B6A">
        <w:tc>
          <w:tcPr>
            <w:tcW w:w="926" w:type="dxa"/>
          </w:tcPr>
          <w:p w14:paraId="425CE07B" w14:textId="537ECCBA" w:rsidR="00E529B8" w:rsidRPr="00525577" w:rsidRDefault="00E529B8" w:rsidP="00225DB4">
            <w:pPr>
              <w:rPr>
                <w:sz w:val="24"/>
                <w:szCs w:val="24"/>
              </w:rPr>
            </w:pPr>
            <w:r w:rsidRPr="00525577">
              <w:rPr>
                <w:sz w:val="24"/>
                <w:szCs w:val="24"/>
              </w:rPr>
              <w:lastRenderedPageBreak/>
              <w:t>12.7e</w:t>
            </w:r>
          </w:p>
        </w:tc>
        <w:tc>
          <w:tcPr>
            <w:tcW w:w="3547" w:type="dxa"/>
          </w:tcPr>
          <w:p w14:paraId="40A6E706" w14:textId="30E5B917" w:rsidR="00E529B8" w:rsidRPr="00525577" w:rsidRDefault="00E529B8" w:rsidP="00C73BFC">
            <w:pPr>
              <w:rPr>
                <w:rFonts w:eastAsia="Calibri"/>
                <w:sz w:val="24"/>
                <w:szCs w:val="24"/>
              </w:rPr>
            </w:pPr>
            <w:r w:rsidRPr="00525577">
              <w:rPr>
                <w:rFonts w:eastAsia="Calibri"/>
                <w:sz w:val="24"/>
                <w:szCs w:val="24"/>
              </w:rPr>
              <w:t>e</w:t>
            </w:r>
            <w:proofErr w:type="gramStart"/>
            <w:r w:rsidRPr="00525577">
              <w:rPr>
                <w:rFonts w:eastAsia="Calibri"/>
                <w:sz w:val="24"/>
                <w:szCs w:val="24"/>
              </w:rPr>
              <w:t xml:space="preserve">. </w:t>
            </w:r>
            <w:r w:rsidRPr="00525577">
              <w:rPr>
                <w:sz w:val="24"/>
                <w:szCs w:val="24"/>
              </w:rPr>
              <w:tab/>
            </w:r>
            <w:r w:rsidRPr="00525577">
              <w:rPr>
                <w:rFonts w:eastAsia="Calibri"/>
                <w:sz w:val="24"/>
                <w:szCs w:val="24"/>
              </w:rPr>
              <w:t>Contact</w:t>
            </w:r>
            <w:proofErr w:type="gramEnd"/>
            <w:r w:rsidRPr="00525577">
              <w:rPr>
                <w:rFonts w:eastAsia="Calibri"/>
                <w:sz w:val="24"/>
                <w:szCs w:val="24"/>
              </w:rPr>
              <w:t xml:space="preserve"> procedures for individuals to ask questions or learn additional information, which </w:t>
            </w:r>
            <w:proofErr w:type="gramStart"/>
            <w:r w:rsidRPr="00525577">
              <w:rPr>
                <w:rFonts w:eastAsia="Calibri"/>
                <w:sz w:val="24"/>
                <w:szCs w:val="24"/>
              </w:rPr>
              <w:t>shall</w:t>
            </w:r>
            <w:proofErr w:type="gramEnd"/>
            <w:r w:rsidRPr="00525577">
              <w:rPr>
                <w:rFonts w:eastAsia="Calibri"/>
                <w:sz w:val="24"/>
                <w:szCs w:val="24"/>
              </w:rPr>
              <w:t xml:space="preserve"> include a toll-free telephone number, an e-mail address, Web site, or postal address.  </w:t>
            </w:r>
          </w:p>
        </w:tc>
        <w:tc>
          <w:tcPr>
            <w:tcW w:w="2615" w:type="dxa"/>
            <w:vMerge/>
          </w:tcPr>
          <w:p w14:paraId="2BA7CEB8" w14:textId="52A6FAAB" w:rsidR="00E529B8" w:rsidRPr="00525577" w:rsidRDefault="00E529B8" w:rsidP="00225DB4">
            <w:pPr>
              <w:rPr>
                <w:rFonts w:eastAsia="Calibri"/>
                <w:sz w:val="24"/>
                <w:szCs w:val="24"/>
              </w:rPr>
            </w:pPr>
          </w:p>
        </w:tc>
        <w:tc>
          <w:tcPr>
            <w:tcW w:w="1846" w:type="dxa"/>
          </w:tcPr>
          <w:p w14:paraId="6F656A31" w14:textId="6EA88F49" w:rsidR="00E529B8" w:rsidRPr="00525577" w:rsidRDefault="00E529B8" w:rsidP="00225DB4">
            <w:pPr>
              <w:rPr>
                <w:sz w:val="24"/>
                <w:szCs w:val="24"/>
              </w:rPr>
            </w:pPr>
          </w:p>
        </w:tc>
        <w:tc>
          <w:tcPr>
            <w:tcW w:w="1772" w:type="dxa"/>
          </w:tcPr>
          <w:p w14:paraId="6FAD312C" w14:textId="764BA11D" w:rsidR="00E529B8" w:rsidRPr="00525577" w:rsidRDefault="00E529B8" w:rsidP="00225DB4">
            <w:pPr>
              <w:rPr>
                <w:sz w:val="24"/>
                <w:szCs w:val="24"/>
              </w:rPr>
            </w:pPr>
          </w:p>
        </w:tc>
        <w:tc>
          <w:tcPr>
            <w:tcW w:w="3557" w:type="dxa"/>
          </w:tcPr>
          <w:p w14:paraId="63F8DEEB" w14:textId="08C0CEA0" w:rsidR="00E529B8" w:rsidRPr="00525577" w:rsidRDefault="00E529B8" w:rsidP="00225DB4">
            <w:pPr>
              <w:jc w:val="center"/>
              <w:rPr>
                <w:b/>
                <w:bCs/>
                <w:color w:val="FF0000"/>
                <w:sz w:val="24"/>
                <w:szCs w:val="24"/>
              </w:rPr>
            </w:pPr>
          </w:p>
        </w:tc>
      </w:tr>
      <w:tr w:rsidR="00E529B8" w:rsidRPr="00525577" w14:paraId="6EB13369" w14:textId="77777777" w:rsidTr="00B72B6A">
        <w:tc>
          <w:tcPr>
            <w:tcW w:w="926" w:type="dxa"/>
          </w:tcPr>
          <w:p w14:paraId="38BFD4CB" w14:textId="76A4228D" w:rsidR="00E529B8" w:rsidRPr="00525577" w:rsidRDefault="00E529B8" w:rsidP="00225DB4">
            <w:pPr>
              <w:rPr>
                <w:sz w:val="24"/>
                <w:szCs w:val="24"/>
              </w:rPr>
            </w:pPr>
            <w:r w:rsidRPr="00525577">
              <w:rPr>
                <w:sz w:val="24"/>
                <w:szCs w:val="24"/>
              </w:rPr>
              <w:t>12.7f</w:t>
            </w:r>
          </w:p>
        </w:tc>
        <w:tc>
          <w:tcPr>
            <w:tcW w:w="3547" w:type="dxa"/>
          </w:tcPr>
          <w:p w14:paraId="732729B2" w14:textId="77C5A33C" w:rsidR="00E529B8" w:rsidRPr="00525577" w:rsidRDefault="00E529B8" w:rsidP="00C73BFC">
            <w:pPr>
              <w:rPr>
                <w:rFonts w:eastAsia="Calibri"/>
                <w:sz w:val="24"/>
                <w:szCs w:val="24"/>
              </w:rPr>
            </w:pPr>
            <w:r w:rsidRPr="00525577">
              <w:rPr>
                <w:rFonts w:eastAsia="Calibri"/>
                <w:sz w:val="24"/>
                <w:szCs w:val="24"/>
              </w:rPr>
              <w:t xml:space="preserve">f. </w:t>
            </w:r>
            <w:r w:rsidRPr="00525577">
              <w:rPr>
                <w:sz w:val="24"/>
                <w:szCs w:val="24"/>
              </w:rPr>
              <w:tab/>
            </w:r>
            <w:r w:rsidRPr="00525577">
              <w:rPr>
                <w:rFonts w:eastAsia="Calibri"/>
                <w:sz w:val="24"/>
                <w:szCs w:val="24"/>
              </w:rPr>
              <w:t>The Written notification must be sent by first-class mail to the individual at the last known address of the individual or, if the individual agrees to electronic notice and such agreement has not been withdrawn, by electronic mail. The notification may be provided in one or more mailings as information is available.</w:t>
            </w:r>
          </w:p>
        </w:tc>
        <w:tc>
          <w:tcPr>
            <w:tcW w:w="2615" w:type="dxa"/>
            <w:vMerge/>
          </w:tcPr>
          <w:p w14:paraId="27ACA0F0" w14:textId="58FC27DE" w:rsidR="00E529B8" w:rsidRPr="00525577" w:rsidRDefault="00E529B8" w:rsidP="00225DB4">
            <w:pPr>
              <w:rPr>
                <w:rFonts w:eastAsia="Calibri"/>
                <w:sz w:val="24"/>
                <w:szCs w:val="24"/>
              </w:rPr>
            </w:pPr>
          </w:p>
        </w:tc>
        <w:tc>
          <w:tcPr>
            <w:tcW w:w="1846" w:type="dxa"/>
          </w:tcPr>
          <w:p w14:paraId="285422C9" w14:textId="1F5CDD48" w:rsidR="00E529B8" w:rsidRPr="00525577" w:rsidRDefault="00E529B8" w:rsidP="00225DB4">
            <w:pPr>
              <w:rPr>
                <w:sz w:val="24"/>
                <w:szCs w:val="24"/>
              </w:rPr>
            </w:pPr>
          </w:p>
        </w:tc>
        <w:tc>
          <w:tcPr>
            <w:tcW w:w="1772" w:type="dxa"/>
          </w:tcPr>
          <w:p w14:paraId="5E72B0B0" w14:textId="227A80CA" w:rsidR="00E529B8" w:rsidRPr="00525577" w:rsidRDefault="00E529B8" w:rsidP="00225DB4">
            <w:pPr>
              <w:rPr>
                <w:sz w:val="24"/>
                <w:szCs w:val="24"/>
              </w:rPr>
            </w:pPr>
          </w:p>
        </w:tc>
        <w:tc>
          <w:tcPr>
            <w:tcW w:w="3557" w:type="dxa"/>
          </w:tcPr>
          <w:p w14:paraId="5E3354D1" w14:textId="0D156498" w:rsidR="00E529B8" w:rsidRPr="00525577" w:rsidRDefault="00E529B8" w:rsidP="00225DB4">
            <w:pPr>
              <w:jc w:val="center"/>
              <w:rPr>
                <w:b/>
                <w:bCs/>
                <w:color w:val="FF0000"/>
                <w:sz w:val="24"/>
                <w:szCs w:val="24"/>
              </w:rPr>
            </w:pPr>
          </w:p>
        </w:tc>
      </w:tr>
      <w:tr w:rsidR="777D17B9" w:rsidRPr="00525577" w14:paraId="236248B8" w14:textId="77777777" w:rsidTr="00B72B6A">
        <w:tc>
          <w:tcPr>
            <w:tcW w:w="926" w:type="dxa"/>
          </w:tcPr>
          <w:p w14:paraId="08C0F933" w14:textId="388EDAAD" w:rsidR="777D17B9" w:rsidRPr="00525577" w:rsidRDefault="4928354A" w:rsidP="00225DB4">
            <w:pPr>
              <w:rPr>
                <w:sz w:val="24"/>
                <w:szCs w:val="24"/>
              </w:rPr>
            </w:pPr>
            <w:r w:rsidRPr="00525577">
              <w:rPr>
                <w:sz w:val="24"/>
                <w:szCs w:val="24"/>
              </w:rPr>
              <w:t>12.7g</w:t>
            </w:r>
          </w:p>
        </w:tc>
        <w:tc>
          <w:tcPr>
            <w:tcW w:w="3547" w:type="dxa"/>
          </w:tcPr>
          <w:p w14:paraId="7449C6DA" w14:textId="56EEE639" w:rsidR="777D17B9" w:rsidRPr="00525577" w:rsidRDefault="571103CC" w:rsidP="00225DB4">
            <w:pPr>
              <w:rPr>
                <w:sz w:val="24"/>
                <w:szCs w:val="24"/>
              </w:rPr>
            </w:pPr>
            <w:r w:rsidRPr="00525577">
              <w:rPr>
                <w:rFonts w:eastAsia="Calibri"/>
                <w:sz w:val="24"/>
                <w:szCs w:val="24"/>
              </w:rPr>
              <w:t>g</w:t>
            </w:r>
            <w:proofErr w:type="gramStart"/>
            <w:r w:rsidRPr="00525577">
              <w:rPr>
                <w:rFonts w:eastAsia="Calibri"/>
                <w:sz w:val="24"/>
                <w:szCs w:val="24"/>
              </w:rPr>
              <w:t xml:space="preserve">. </w:t>
            </w:r>
            <w:r w:rsidRPr="00525577">
              <w:rPr>
                <w:sz w:val="24"/>
                <w:szCs w:val="24"/>
              </w:rPr>
              <w:tab/>
            </w:r>
            <w:r w:rsidRPr="00525577">
              <w:rPr>
                <w:rFonts w:eastAsia="Calibri"/>
                <w:sz w:val="24"/>
                <w:szCs w:val="24"/>
              </w:rPr>
              <w:t>If</w:t>
            </w:r>
            <w:proofErr w:type="gramEnd"/>
            <w:r w:rsidRPr="00525577">
              <w:rPr>
                <w:rFonts w:eastAsia="Calibri"/>
                <w:sz w:val="24"/>
                <w:szCs w:val="24"/>
              </w:rPr>
              <w:t xml:space="preserve"> the covered entity knows the individual is deceased </w:t>
            </w:r>
            <w:r w:rsidRPr="00525577">
              <w:rPr>
                <w:rFonts w:eastAsia="Calibri"/>
                <w:sz w:val="24"/>
                <w:szCs w:val="24"/>
              </w:rPr>
              <w:lastRenderedPageBreak/>
              <w:t>and has the address of the next of kin or personal representative of the individual (as specified under §164.502(g)(4) of subpart E), written notification by first-class mail to either the next of kin or personal representative of the individual. The notification may be provided in one or more mailings as information is available</w:t>
            </w:r>
          </w:p>
        </w:tc>
        <w:tc>
          <w:tcPr>
            <w:tcW w:w="2615" w:type="dxa"/>
          </w:tcPr>
          <w:p w14:paraId="0B776DEB" w14:textId="140722D3" w:rsidR="777D17B9" w:rsidRPr="00525577" w:rsidRDefault="777D17B9" w:rsidP="00225DB4">
            <w:pPr>
              <w:rPr>
                <w:rFonts w:eastAsia="Calibri"/>
                <w:sz w:val="24"/>
                <w:szCs w:val="24"/>
              </w:rPr>
            </w:pPr>
          </w:p>
        </w:tc>
        <w:tc>
          <w:tcPr>
            <w:tcW w:w="1846" w:type="dxa"/>
          </w:tcPr>
          <w:p w14:paraId="6A1C6EA4" w14:textId="5697ED21" w:rsidR="777D17B9" w:rsidRPr="00525577" w:rsidRDefault="777D17B9" w:rsidP="00225DB4">
            <w:pPr>
              <w:rPr>
                <w:sz w:val="24"/>
                <w:szCs w:val="24"/>
              </w:rPr>
            </w:pPr>
          </w:p>
        </w:tc>
        <w:tc>
          <w:tcPr>
            <w:tcW w:w="1772" w:type="dxa"/>
          </w:tcPr>
          <w:p w14:paraId="54608AB0" w14:textId="2CFF7FCF" w:rsidR="777D17B9" w:rsidRPr="00525577" w:rsidRDefault="777D17B9" w:rsidP="00225DB4">
            <w:pPr>
              <w:rPr>
                <w:sz w:val="24"/>
                <w:szCs w:val="24"/>
              </w:rPr>
            </w:pPr>
          </w:p>
        </w:tc>
        <w:tc>
          <w:tcPr>
            <w:tcW w:w="3557" w:type="dxa"/>
          </w:tcPr>
          <w:p w14:paraId="32AE6AE6" w14:textId="0A662E93" w:rsidR="777D17B9" w:rsidRPr="00525577" w:rsidRDefault="777D17B9" w:rsidP="00225DB4">
            <w:pPr>
              <w:jc w:val="center"/>
              <w:rPr>
                <w:b/>
                <w:bCs/>
                <w:color w:val="FF0000"/>
                <w:sz w:val="24"/>
                <w:szCs w:val="24"/>
              </w:rPr>
            </w:pPr>
          </w:p>
        </w:tc>
      </w:tr>
      <w:tr w:rsidR="00EC4529" w:rsidRPr="00525577" w14:paraId="352EB8A1" w14:textId="6E8B30C8" w:rsidTr="00B72B6A">
        <w:tc>
          <w:tcPr>
            <w:tcW w:w="926" w:type="dxa"/>
          </w:tcPr>
          <w:p w14:paraId="2D4E6DD9" w14:textId="0F14D8D5" w:rsidR="00EC4529" w:rsidRPr="00525577" w:rsidRDefault="00E529B8" w:rsidP="00225DB4">
            <w:pPr>
              <w:rPr>
                <w:rFonts w:cstheme="minorHAnsi"/>
                <w:sz w:val="24"/>
                <w:szCs w:val="24"/>
              </w:rPr>
            </w:pPr>
            <w:r w:rsidRPr="00525577">
              <w:rPr>
                <w:sz w:val="24"/>
                <w:szCs w:val="24"/>
              </w:rPr>
              <w:t>12.8</w:t>
            </w:r>
          </w:p>
        </w:tc>
        <w:tc>
          <w:tcPr>
            <w:tcW w:w="3547" w:type="dxa"/>
          </w:tcPr>
          <w:p w14:paraId="52DB630E" w14:textId="4EC4E360" w:rsidR="00EC4529" w:rsidRPr="00525577" w:rsidRDefault="00EC4529" w:rsidP="00225DB4">
            <w:pPr>
              <w:rPr>
                <w:rFonts w:eastAsia="Calibri"/>
                <w:sz w:val="24"/>
                <w:szCs w:val="24"/>
              </w:rPr>
            </w:pPr>
            <w:r w:rsidRPr="00525577">
              <w:rPr>
                <w:rFonts w:eastAsia="Calibri"/>
                <w:sz w:val="24"/>
                <w:szCs w:val="24"/>
              </w:rPr>
              <w:t>Breach substitute notice</w:t>
            </w:r>
            <w:proofErr w:type="gramStart"/>
            <w:r w:rsidRPr="00525577">
              <w:rPr>
                <w:rFonts w:eastAsia="Calibri"/>
                <w:sz w:val="24"/>
                <w:szCs w:val="24"/>
              </w:rPr>
              <w:t xml:space="preserve">: </w:t>
            </w:r>
            <w:r w:rsidRPr="00525577">
              <w:rPr>
                <w:sz w:val="24"/>
                <w:szCs w:val="24"/>
              </w:rPr>
              <w:tab/>
            </w:r>
            <w:r w:rsidRPr="00525577">
              <w:rPr>
                <w:rFonts w:eastAsia="Calibri"/>
                <w:sz w:val="24"/>
                <w:szCs w:val="24"/>
              </w:rPr>
              <w:t>In</w:t>
            </w:r>
            <w:proofErr w:type="gramEnd"/>
            <w:r w:rsidRPr="00525577">
              <w:rPr>
                <w:rFonts w:eastAsia="Calibri"/>
                <w:sz w:val="24"/>
                <w:szCs w:val="24"/>
              </w:rPr>
              <w:t xml:space="preserve"> the case in which there is insufficient or out-of-date contact information that precludes written notification to the individual under paragraph (d)(1)(</w:t>
            </w:r>
            <w:proofErr w:type="spellStart"/>
            <w:r w:rsidRPr="00525577">
              <w:rPr>
                <w:rFonts w:eastAsia="Calibri"/>
                <w:sz w:val="24"/>
                <w:szCs w:val="24"/>
              </w:rPr>
              <w:t>i</w:t>
            </w:r>
            <w:proofErr w:type="spellEnd"/>
            <w:r w:rsidRPr="00525577">
              <w:rPr>
                <w:rFonts w:eastAsia="Calibri"/>
                <w:sz w:val="24"/>
                <w:szCs w:val="24"/>
              </w:rPr>
              <w:t xml:space="preserve">) of this section, </w:t>
            </w:r>
          </w:p>
          <w:p w14:paraId="34D8D9ED" w14:textId="77777777" w:rsidR="00EC4529" w:rsidRPr="00525577" w:rsidRDefault="00EC4529" w:rsidP="00225DB4">
            <w:pPr>
              <w:rPr>
                <w:rFonts w:cstheme="minorHAnsi"/>
                <w:sz w:val="24"/>
                <w:szCs w:val="24"/>
              </w:rPr>
            </w:pPr>
          </w:p>
        </w:tc>
        <w:tc>
          <w:tcPr>
            <w:tcW w:w="2615" w:type="dxa"/>
            <w:vMerge w:val="restart"/>
          </w:tcPr>
          <w:p w14:paraId="4C951F0A" w14:textId="77777777" w:rsidR="00E529B8" w:rsidRPr="00525577" w:rsidRDefault="00EC4529" w:rsidP="00225DB4">
            <w:pPr>
              <w:rPr>
                <w:rFonts w:eastAsia="Calibri" w:cstheme="minorHAnsi"/>
                <w:sz w:val="24"/>
                <w:szCs w:val="24"/>
              </w:rPr>
            </w:pPr>
            <w:r w:rsidRPr="00525577">
              <w:rPr>
                <w:rFonts w:eastAsia="Calibri" w:cstheme="minorHAnsi"/>
                <w:sz w:val="24"/>
                <w:szCs w:val="24"/>
              </w:rPr>
              <w:t xml:space="preserve">45 CFR §164.404(d)(2),    </w:t>
            </w:r>
          </w:p>
          <w:p w14:paraId="666EF8CC" w14:textId="0D4C8BA0" w:rsidR="00EC4529" w:rsidRPr="00525577" w:rsidRDefault="00EC4529" w:rsidP="00225DB4">
            <w:pPr>
              <w:rPr>
                <w:rFonts w:eastAsia="Calibri" w:cstheme="minorHAnsi"/>
                <w:sz w:val="24"/>
                <w:szCs w:val="24"/>
              </w:rPr>
            </w:pPr>
            <w:r w:rsidRPr="00525577">
              <w:rPr>
                <w:rFonts w:eastAsia="Calibri" w:cstheme="minorHAnsi"/>
                <w:sz w:val="24"/>
                <w:szCs w:val="24"/>
              </w:rPr>
              <w:t>45 CFR §164.404(d)(2)(</w:t>
            </w:r>
            <w:proofErr w:type="spellStart"/>
            <w:r w:rsidRPr="00525577">
              <w:rPr>
                <w:rFonts w:eastAsia="Calibri" w:cstheme="minorHAnsi"/>
                <w:sz w:val="24"/>
                <w:szCs w:val="24"/>
              </w:rPr>
              <w:t>i</w:t>
            </w:r>
            <w:proofErr w:type="spellEnd"/>
            <w:r w:rsidRPr="00525577">
              <w:rPr>
                <w:rFonts w:eastAsia="Calibri" w:cstheme="minorHAnsi"/>
                <w:sz w:val="24"/>
                <w:szCs w:val="24"/>
              </w:rPr>
              <w:t xml:space="preserve">), </w:t>
            </w:r>
          </w:p>
          <w:p w14:paraId="7E2D267F" w14:textId="2BE0B43B" w:rsidR="00EC4529" w:rsidRPr="00525577" w:rsidRDefault="00EC4529" w:rsidP="00225DB4">
            <w:pPr>
              <w:rPr>
                <w:rFonts w:cstheme="minorHAnsi"/>
                <w:sz w:val="24"/>
                <w:szCs w:val="24"/>
              </w:rPr>
            </w:pPr>
            <w:r w:rsidRPr="00525577">
              <w:rPr>
                <w:rFonts w:eastAsia="Calibri" w:cstheme="minorHAnsi"/>
                <w:sz w:val="24"/>
                <w:szCs w:val="24"/>
              </w:rPr>
              <w:t>45 CFR §164.404(d)(2)(</w:t>
            </w:r>
            <w:proofErr w:type="spellStart"/>
            <w:proofErr w:type="gramStart"/>
            <w:r w:rsidRPr="00525577">
              <w:rPr>
                <w:rFonts w:eastAsia="Calibri" w:cstheme="minorHAnsi"/>
                <w:sz w:val="24"/>
                <w:szCs w:val="24"/>
              </w:rPr>
              <w:t>i</w:t>
            </w:r>
            <w:proofErr w:type="spellEnd"/>
            <w:r w:rsidRPr="00525577">
              <w:rPr>
                <w:rFonts w:eastAsia="Calibri" w:cstheme="minorHAnsi"/>
                <w:sz w:val="24"/>
                <w:szCs w:val="24"/>
              </w:rPr>
              <w:t>)(</w:t>
            </w:r>
            <w:proofErr w:type="gramEnd"/>
            <w:r w:rsidRPr="00525577">
              <w:rPr>
                <w:rFonts w:eastAsia="Calibri" w:cstheme="minorHAnsi"/>
                <w:sz w:val="24"/>
                <w:szCs w:val="24"/>
              </w:rPr>
              <w:t>A-B)</w:t>
            </w:r>
          </w:p>
        </w:tc>
        <w:tc>
          <w:tcPr>
            <w:tcW w:w="1846" w:type="dxa"/>
          </w:tcPr>
          <w:p w14:paraId="252AC854" w14:textId="77777777" w:rsidR="00EC4529" w:rsidRPr="00525577" w:rsidRDefault="00EC4529" w:rsidP="00225DB4">
            <w:pPr>
              <w:rPr>
                <w:rFonts w:cstheme="minorHAnsi"/>
                <w:sz w:val="24"/>
                <w:szCs w:val="24"/>
              </w:rPr>
            </w:pPr>
          </w:p>
        </w:tc>
        <w:tc>
          <w:tcPr>
            <w:tcW w:w="1772" w:type="dxa"/>
          </w:tcPr>
          <w:p w14:paraId="75541175" w14:textId="77777777" w:rsidR="00EC4529" w:rsidRPr="00525577" w:rsidRDefault="00EC4529" w:rsidP="00225DB4">
            <w:pPr>
              <w:rPr>
                <w:rFonts w:cstheme="minorHAnsi"/>
                <w:sz w:val="24"/>
                <w:szCs w:val="24"/>
              </w:rPr>
            </w:pPr>
          </w:p>
        </w:tc>
        <w:tc>
          <w:tcPr>
            <w:tcW w:w="3557" w:type="dxa"/>
          </w:tcPr>
          <w:p w14:paraId="6CDB547A" w14:textId="73A7E0C1" w:rsidR="00EC4529" w:rsidRPr="00525577" w:rsidRDefault="00EC4529" w:rsidP="00225DB4">
            <w:pPr>
              <w:jc w:val="center"/>
              <w:rPr>
                <w:rFonts w:cstheme="minorHAnsi"/>
                <w:b/>
                <w:bCs/>
                <w:color w:val="FF0000"/>
                <w:sz w:val="24"/>
                <w:szCs w:val="24"/>
              </w:rPr>
            </w:pPr>
          </w:p>
        </w:tc>
      </w:tr>
      <w:tr w:rsidR="00E529B8" w:rsidRPr="00525577" w14:paraId="1AB54261" w14:textId="77777777" w:rsidTr="00B72B6A">
        <w:tc>
          <w:tcPr>
            <w:tcW w:w="926" w:type="dxa"/>
          </w:tcPr>
          <w:p w14:paraId="63046057" w14:textId="33C98767" w:rsidR="00E529B8" w:rsidRPr="00525577" w:rsidRDefault="00E529B8" w:rsidP="00225DB4">
            <w:pPr>
              <w:rPr>
                <w:sz w:val="24"/>
                <w:szCs w:val="24"/>
              </w:rPr>
            </w:pPr>
            <w:r w:rsidRPr="00525577">
              <w:rPr>
                <w:sz w:val="24"/>
                <w:szCs w:val="24"/>
              </w:rPr>
              <w:lastRenderedPageBreak/>
              <w:t>12.8a</w:t>
            </w:r>
          </w:p>
        </w:tc>
        <w:tc>
          <w:tcPr>
            <w:tcW w:w="3547" w:type="dxa"/>
          </w:tcPr>
          <w:p w14:paraId="0CD8DD59" w14:textId="05EC79F0" w:rsidR="00E529B8" w:rsidRPr="00525577" w:rsidRDefault="00E529B8" w:rsidP="00225DB4">
            <w:pPr>
              <w:rPr>
                <w:rFonts w:eastAsia="Calibri"/>
                <w:sz w:val="24"/>
                <w:szCs w:val="24"/>
              </w:rPr>
            </w:pPr>
            <w:r w:rsidRPr="00525577">
              <w:rPr>
                <w:rFonts w:eastAsia="Calibri"/>
                <w:sz w:val="24"/>
                <w:szCs w:val="24"/>
              </w:rPr>
              <w:t>a</w:t>
            </w:r>
            <w:proofErr w:type="gramStart"/>
            <w:r w:rsidRPr="00525577">
              <w:rPr>
                <w:rFonts w:eastAsia="Calibri"/>
                <w:sz w:val="24"/>
                <w:szCs w:val="24"/>
              </w:rPr>
              <w:t xml:space="preserve">. </w:t>
            </w:r>
            <w:r w:rsidRPr="00525577">
              <w:rPr>
                <w:sz w:val="24"/>
                <w:szCs w:val="24"/>
              </w:rPr>
              <w:tab/>
            </w:r>
            <w:r w:rsidRPr="00525577">
              <w:rPr>
                <w:rFonts w:eastAsia="Calibri"/>
                <w:sz w:val="24"/>
                <w:szCs w:val="24"/>
              </w:rPr>
              <w:t>A</w:t>
            </w:r>
            <w:proofErr w:type="gramEnd"/>
            <w:r w:rsidRPr="00525577">
              <w:rPr>
                <w:rFonts w:eastAsia="Calibri"/>
                <w:sz w:val="24"/>
                <w:szCs w:val="24"/>
              </w:rPr>
              <w:t xml:space="preserve"> substitute form of notice reasonably calculated to reach the individual shall be provided.</w:t>
            </w:r>
          </w:p>
        </w:tc>
        <w:tc>
          <w:tcPr>
            <w:tcW w:w="2615" w:type="dxa"/>
            <w:vMerge/>
          </w:tcPr>
          <w:p w14:paraId="328F1C61" w14:textId="4FB46BA3" w:rsidR="00E529B8" w:rsidRPr="00525577" w:rsidRDefault="00E529B8" w:rsidP="00225DB4">
            <w:pPr>
              <w:rPr>
                <w:rFonts w:eastAsia="Calibri"/>
                <w:sz w:val="24"/>
                <w:szCs w:val="24"/>
              </w:rPr>
            </w:pPr>
          </w:p>
        </w:tc>
        <w:tc>
          <w:tcPr>
            <w:tcW w:w="1846" w:type="dxa"/>
          </w:tcPr>
          <w:p w14:paraId="1A9101BF" w14:textId="72D324C5" w:rsidR="00E529B8" w:rsidRPr="00525577" w:rsidRDefault="00E529B8" w:rsidP="00225DB4">
            <w:pPr>
              <w:rPr>
                <w:sz w:val="24"/>
                <w:szCs w:val="24"/>
              </w:rPr>
            </w:pPr>
          </w:p>
        </w:tc>
        <w:tc>
          <w:tcPr>
            <w:tcW w:w="1772" w:type="dxa"/>
          </w:tcPr>
          <w:p w14:paraId="3F0542BA" w14:textId="65A64897" w:rsidR="00E529B8" w:rsidRPr="00525577" w:rsidRDefault="00E529B8" w:rsidP="00225DB4">
            <w:pPr>
              <w:rPr>
                <w:sz w:val="24"/>
                <w:szCs w:val="24"/>
              </w:rPr>
            </w:pPr>
          </w:p>
        </w:tc>
        <w:tc>
          <w:tcPr>
            <w:tcW w:w="3557" w:type="dxa"/>
          </w:tcPr>
          <w:p w14:paraId="556B8496" w14:textId="57B2710D" w:rsidR="00E529B8" w:rsidRPr="00525577" w:rsidRDefault="00E529B8" w:rsidP="00225DB4">
            <w:pPr>
              <w:jc w:val="center"/>
              <w:rPr>
                <w:b/>
                <w:bCs/>
                <w:color w:val="FF0000"/>
                <w:sz w:val="24"/>
                <w:szCs w:val="24"/>
              </w:rPr>
            </w:pPr>
          </w:p>
        </w:tc>
      </w:tr>
      <w:tr w:rsidR="00E529B8" w:rsidRPr="00525577" w14:paraId="6F27923E" w14:textId="77777777" w:rsidTr="00B72B6A">
        <w:tc>
          <w:tcPr>
            <w:tcW w:w="926" w:type="dxa"/>
          </w:tcPr>
          <w:p w14:paraId="532888F5" w14:textId="6646D3B4" w:rsidR="00E529B8" w:rsidRPr="00525577" w:rsidRDefault="00E529B8" w:rsidP="00225DB4">
            <w:pPr>
              <w:rPr>
                <w:sz w:val="24"/>
                <w:szCs w:val="24"/>
              </w:rPr>
            </w:pPr>
            <w:r w:rsidRPr="00525577">
              <w:rPr>
                <w:sz w:val="24"/>
                <w:szCs w:val="24"/>
              </w:rPr>
              <w:t>12.8b</w:t>
            </w:r>
          </w:p>
        </w:tc>
        <w:tc>
          <w:tcPr>
            <w:tcW w:w="3547" w:type="dxa"/>
          </w:tcPr>
          <w:p w14:paraId="5BCE6429" w14:textId="77777777" w:rsidR="00E529B8" w:rsidRPr="00525577" w:rsidRDefault="00E529B8" w:rsidP="00225DB4">
            <w:pPr>
              <w:rPr>
                <w:rFonts w:eastAsia="Calibri"/>
                <w:sz w:val="24"/>
                <w:szCs w:val="24"/>
              </w:rPr>
            </w:pPr>
            <w:r w:rsidRPr="00525577">
              <w:rPr>
                <w:rFonts w:eastAsia="Calibri"/>
                <w:sz w:val="24"/>
                <w:szCs w:val="24"/>
              </w:rPr>
              <w:t>b</w:t>
            </w:r>
            <w:proofErr w:type="gramStart"/>
            <w:r w:rsidRPr="00525577">
              <w:rPr>
                <w:rFonts w:eastAsia="Calibri"/>
                <w:sz w:val="24"/>
                <w:szCs w:val="24"/>
              </w:rPr>
              <w:t xml:space="preserve">. </w:t>
            </w:r>
            <w:r w:rsidRPr="00525577">
              <w:rPr>
                <w:sz w:val="24"/>
                <w:szCs w:val="24"/>
              </w:rPr>
              <w:tab/>
            </w:r>
            <w:r w:rsidRPr="00525577">
              <w:rPr>
                <w:rFonts w:eastAsia="Calibri"/>
                <w:sz w:val="24"/>
                <w:szCs w:val="24"/>
              </w:rPr>
              <w:t>Substitute</w:t>
            </w:r>
            <w:proofErr w:type="gramEnd"/>
            <w:r w:rsidRPr="00525577">
              <w:rPr>
                <w:rFonts w:eastAsia="Calibri"/>
                <w:sz w:val="24"/>
                <w:szCs w:val="24"/>
              </w:rPr>
              <w:t xml:space="preserve"> notice need not be provided in the case in which there is insufficient or out-of-date contact information that precludes written notification to the next of kin or personal representative of the individual under paragraph (d)(1)(ii).  </w:t>
            </w:r>
          </w:p>
          <w:p w14:paraId="1B04825B" w14:textId="37301D32" w:rsidR="00E529B8" w:rsidRPr="00525577" w:rsidRDefault="00E529B8" w:rsidP="00225DB4">
            <w:pPr>
              <w:rPr>
                <w:rFonts w:eastAsia="Calibri"/>
                <w:sz w:val="24"/>
                <w:szCs w:val="24"/>
              </w:rPr>
            </w:pPr>
          </w:p>
        </w:tc>
        <w:tc>
          <w:tcPr>
            <w:tcW w:w="2615" w:type="dxa"/>
            <w:vMerge/>
          </w:tcPr>
          <w:p w14:paraId="4FDC9DDC" w14:textId="362ABA5F" w:rsidR="00E529B8" w:rsidRPr="00525577" w:rsidRDefault="00E529B8" w:rsidP="00225DB4">
            <w:pPr>
              <w:rPr>
                <w:rFonts w:eastAsia="Calibri"/>
                <w:sz w:val="24"/>
                <w:szCs w:val="24"/>
              </w:rPr>
            </w:pPr>
          </w:p>
        </w:tc>
        <w:tc>
          <w:tcPr>
            <w:tcW w:w="1846" w:type="dxa"/>
          </w:tcPr>
          <w:p w14:paraId="03F7B3B7" w14:textId="009830DC" w:rsidR="00E529B8" w:rsidRPr="00525577" w:rsidRDefault="00E529B8" w:rsidP="00225DB4">
            <w:pPr>
              <w:rPr>
                <w:sz w:val="24"/>
                <w:szCs w:val="24"/>
              </w:rPr>
            </w:pPr>
          </w:p>
        </w:tc>
        <w:tc>
          <w:tcPr>
            <w:tcW w:w="1772" w:type="dxa"/>
          </w:tcPr>
          <w:p w14:paraId="1952FB26" w14:textId="04F3082E" w:rsidR="00E529B8" w:rsidRPr="00525577" w:rsidRDefault="00E529B8" w:rsidP="00225DB4">
            <w:pPr>
              <w:rPr>
                <w:sz w:val="24"/>
                <w:szCs w:val="24"/>
              </w:rPr>
            </w:pPr>
          </w:p>
        </w:tc>
        <w:tc>
          <w:tcPr>
            <w:tcW w:w="3557" w:type="dxa"/>
          </w:tcPr>
          <w:p w14:paraId="3A7E1FC8" w14:textId="6BE5531D" w:rsidR="00E529B8" w:rsidRPr="00525577" w:rsidRDefault="00E529B8" w:rsidP="00225DB4">
            <w:pPr>
              <w:jc w:val="center"/>
              <w:rPr>
                <w:b/>
                <w:bCs/>
                <w:color w:val="FF0000"/>
                <w:sz w:val="24"/>
                <w:szCs w:val="24"/>
              </w:rPr>
            </w:pPr>
          </w:p>
        </w:tc>
      </w:tr>
      <w:tr w:rsidR="00E529B8" w:rsidRPr="00525577" w14:paraId="7852645D" w14:textId="77777777" w:rsidTr="00B72B6A">
        <w:tc>
          <w:tcPr>
            <w:tcW w:w="926" w:type="dxa"/>
          </w:tcPr>
          <w:p w14:paraId="0ED79B35" w14:textId="532203DB" w:rsidR="00E529B8" w:rsidRPr="00525577" w:rsidRDefault="2E9BFD83" w:rsidP="00225DB4">
            <w:pPr>
              <w:rPr>
                <w:sz w:val="24"/>
                <w:szCs w:val="24"/>
              </w:rPr>
            </w:pPr>
            <w:r w:rsidRPr="00525577">
              <w:rPr>
                <w:sz w:val="24"/>
                <w:szCs w:val="24"/>
              </w:rPr>
              <w:t>12.8c</w:t>
            </w:r>
          </w:p>
        </w:tc>
        <w:tc>
          <w:tcPr>
            <w:tcW w:w="3547" w:type="dxa"/>
          </w:tcPr>
          <w:p w14:paraId="6BCDEBE8" w14:textId="66A78E68" w:rsidR="00E529B8" w:rsidRPr="00525577" w:rsidRDefault="00E529B8" w:rsidP="00C73BFC">
            <w:pPr>
              <w:rPr>
                <w:rFonts w:eastAsia="Calibri"/>
                <w:sz w:val="24"/>
                <w:szCs w:val="24"/>
              </w:rPr>
            </w:pPr>
            <w:r w:rsidRPr="00525577">
              <w:rPr>
                <w:rFonts w:eastAsia="Calibri"/>
                <w:sz w:val="24"/>
                <w:szCs w:val="24"/>
              </w:rPr>
              <w:t>c</w:t>
            </w:r>
            <w:proofErr w:type="gramStart"/>
            <w:r w:rsidRPr="00525577">
              <w:rPr>
                <w:rFonts w:eastAsia="Calibri"/>
                <w:sz w:val="24"/>
                <w:szCs w:val="24"/>
              </w:rPr>
              <w:t xml:space="preserve">. </w:t>
            </w:r>
            <w:r w:rsidRPr="00525577">
              <w:rPr>
                <w:sz w:val="24"/>
                <w:szCs w:val="24"/>
              </w:rPr>
              <w:tab/>
            </w:r>
            <w:r w:rsidRPr="00525577">
              <w:rPr>
                <w:rFonts w:eastAsia="Calibri"/>
                <w:sz w:val="24"/>
                <w:szCs w:val="24"/>
              </w:rPr>
              <w:t>In</w:t>
            </w:r>
            <w:proofErr w:type="gramEnd"/>
            <w:r w:rsidRPr="00525577">
              <w:rPr>
                <w:rFonts w:eastAsia="Calibri"/>
                <w:sz w:val="24"/>
                <w:szCs w:val="24"/>
              </w:rPr>
              <w:t xml:space="preserve"> the case in which there is insufficient or out-of-date contact information for fewer than 10 individuals, then such substitute notice may be provided by an alternative form of written notice, telephone, or </w:t>
            </w:r>
            <w:r w:rsidRPr="00525577">
              <w:rPr>
                <w:rFonts w:eastAsia="Calibri"/>
                <w:sz w:val="24"/>
                <w:szCs w:val="24"/>
              </w:rPr>
              <w:lastRenderedPageBreak/>
              <w:t>other means.   In the case in which there is insufficient or out-of-date contact information for 10 or more individuals, then such substitute notice shall:</w:t>
            </w:r>
          </w:p>
        </w:tc>
        <w:tc>
          <w:tcPr>
            <w:tcW w:w="2615" w:type="dxa"/>
            <w:vMerge/>
          </w:tcPr>
          <w:p w14:paraId="00DCF7F1" w14:textId="70C64CB4" w:rsidR="00E529B8" w:rsidRPr="00525577" w:rsidRDefault="00E529B8" w:rsidP="00225DB4">
            <w:pPr>
              <w:rPr>
                <w:rFonts w:eastAsia="Calibri"/>
                <w:sz w:val="24"/>
                <w:szCs w:val="24"/>
              </w:rPr>
            </w:pPr>
          </w:p>
        </w:tc>
        <w:tc>
          <w:tcPr>
            <w:tcW w:w="1846" w:type="dxa"/>
          </w:tcPr>
          <w:p w14:paraId="33F4B8BD" w14:textId="0373755B" w:rsidR="00E529B8" w:rsidRPr="00525577" w:rsidRDefault="00E529B8" w:rsidP="00225DB4">
            <w:pPr>
              <w:rPr>
                <w:sz w:val="24"/>
                <w:szCs w:val="24"/>
              </w:rPr>
            </w:pPr>
          </w:p>
        </w:tc>
        <w:tc>
          <w:tcPr>
            <w:tcW w:w="1772" w:type="dxa"/>
          </w:tcPr>
          <w:p w14:paraId="2AABE856" w14:textId="6A486883" w:rsidR="00E529B8" w:rsidRPr="00525577" w:rsidRDefault="00E529B8" w:rsidP="00225DB4">
            <w:pPr>
              <w:rPr>
                <w:sz w:val="24"/>
                <w:szCs w:val="24"/>
              </w:rPr>
            </w:pPr>
          </w:p>
        </w:tc>
        <w:tc>
          <w:tcPr>
            <w:tcW w:w="3557" w:type="dxa"/>
          </w:tcPr>
          <w:p w14:paraId="52AD0706" w14:textId="69047ABB" w:rsidR="00E529B8" w:rsidRPr="00525577" w:rsidRDefault="00E529B8" w:rsidP="00225DB4">
            <w:pPr>
              <w:jc w:val="center"/>
              <w:rPr>
                <w:b/>
                <w:bCs/>
                <w:color w:val="FF0000"/>
                <w:sz w:val="24"/>
                <w:szCs w:val="24"/>
              </w:rPr>
            </w:pPr>
          </w:p>
        </w:tc>
      </w:tr>
      <w:tr w:rsidR="00325F4A" w:rsidRPr="00525577" w14:paraId="3431F4A8" w14:textId="77777777" w:rsidTr="00B72B6A">
        <w:tc>
          <w:tcPr>
            <w:tcW w:w="926" w:type="dxa"/>
          </w:tcPr>
          <w:p w14:paraId="4CE4DBC5" w14:textId="1ABBAACF" w:rsidR="00325F4A" w:rsidRPr="00525577" w:rsidRDefault="00325F4A" w:rsidP="00225DB4">
            <w:pPr>
              <w:rPr>
                <w:sz w:val="24"/>
                <w:szCs w:val="24"/>
              </w:rPr>
            </w:pPr>
            <w:r w:rsidRPr="00525577">
              <w:rPr>
                <w:sz w:val="24"/>
                <w:szCs w:val="24"/>
              </w:rPr>
              <w:t>12.8c.1</w:t>
            </w:r>
          </w:p>
        </w:tc>
        <w:tc>
          <w:tcPr>
            <w:tcW w:w="3547" w:type="dxa"/>
          </w:tcPr>
          <w:p w14:paraId="0C958AAA" w14:textId="40CEB2F4" w:rsidR="00325F4A" w:rsidRPr="00525577" w:rsidRDefault="00325F4A" w:rsidP="00225DB4">
            <w:pPr>
              <w:rPr>
                <w:rFonts w:eastAsia="Calibri"/>
                <w:sz w:val="24"/>
                <w:szCs w:val="24"/>
              </w:rPr>
            </w:pPr>
            <w:r w:rsidRPr="00525577">
              <w:rPr>
                <w:rFonts w:eastAsia="Calibri"/>
                <w:sz w:val="24"/>
                <w:szCs w:val="24"/>
              </w:rPr>
              <w:t>1</w:t>
            </w:r>
            <w:proofErr w:type="gramStart"/>
            <w:r w:rsidRPr="00525577">
              <w:rPr>
                <w:rFonts w:eastAsia="Calibri"/>
                <w:sz w:val="24"/>
                <w:szCs w:val="24"/>
              </w:rPr>
              <w:t xml:space="preserve">. </w:t>
            </w:r>
            <w:r w:rsidRPr="00525577">
              <w:rPr>
                <w:sz w:val="24"/>
                <w:szCs w:val="24"/>
              </w:rPr>
              <w:tab/>
            </w:r>
            <w:r w:rsidRPr="00525577">
              <w:rPr>
                <w:rFonts w:eastAsia="Calibri"/>
                <w:sz w:val="24"/>
                <w:szCs w:val="24"/>
              </w:rPr>
              <w:t>Be</w:t>
            </w:r>
            <w:proofErr w:type="gramEnd"/>
            <w:r w:rsidRPr="00525577">
              <w:rPr>
                <w:rFonts w:eastAsia="Calibri"/>
                <w:sz w:val="24"/>
                <w:szCs w:val="24"/>
              </w:rPr>
              <w:t xml:space="preserve"> in the form of either a conspicuous posting for a period of 90 days on the home page of the Web site of the covered entity involved, or conspicuous notice in major print or broadcast media in geographic areas where the individuals affected by the breach likely reside.</w:t>
            </w:r>
          </w:p>
        </w:tc>
        <w:tc>
          <w:tcPr>
            <w:tcW w:w="2615" w:type="dxa"/>
            <w:vMerge w:val="restart"/>
          </w:tcPr>
          <w:p w14:paraId="33A69E8F" w14:textId="2C578CA0" w:rsidR="00325F4A" w:rsidRPr="00525577" w:rsidRDefault="00325F4A" w:rsidP="00225DB4">
            <w:pPr>
              <w:rPr>
                <w:rFonts w:eastAsia="Calibri"/>
                <w:sz w:val="24"/>
                <w:szCs w:val="24"/>
              </w:rPr>
            </w:pPr>
            <w:r w:rsidRPr="00525577">
              <w:rPr>
                <w:rFonts w:eastAsia="Calibri"/>
                <w:sz w:val="24"/>
                <w:szCs w:val="24"/>
              </w:rPr>
              <w:t xml:space="preserve">45 CFR §164.404(d)(2),    </w:t>
            </w:r>
          </w:p>
          <w:p w14:paraId="1A1DA360" w14:textId="176AB470" w:rsidR="00325F4A" w:rsidRPr="00525577" w:rsidRDefault="00325F4A" w:rsidP="00225DB4">
            <w:pPr>
              <w:rPr>
                <w:rFonts w:eastAsia="Calibri"/>
                <w:sz w:val="24"/>
                <w:szCs w:val="24"/>
              </w:rPr>
            </w:pPr>
            <w:r w:rsidRPr="00525577">
              <w:rPr>
                <w:rFonts w:eastAsia="Calibri"/>
                <w:sz w:val="24"/>
                <w:szCs w:val="24"/>
              </w:rPr>
              <w:t>45 CFR §164.404(d)(2)(</w:t>
            </w:r>
            <w:proofErr w:type="spellStart"/>
            <w:r w:rsidRPr="00525577">
              <w:rPr>
                <w:rFonts w:eastAsia="Calibri"/>
                <w:sz w:val="24"/>
                <w:szCs w:val="24"/>
              </w:rPr>
              <w:t>i</w:t>
            </w:r>
            <w:proofErr w:type="spellEnd"/>
            <w:r w:rsidRPr="00525577">
              <w:rPr>
                <w:rFonts w:eastAsia="Calibri"/>
                <w:sz w:val="24"/>
                <w:szCs w:val="24"/>
              </w:rPr>
              <w:t xml:space="preserve">), </w:t>
            </w:r>
          </w:p>
          <w:p w14:paraId="48F10DA4" w14:textId="265D063B" w:rsidR="00325F4A" w:rsidRPr="00525577" w:rsidRDefault="00325F4A" w:rsidP="00225DB4">
            <w:pPr>
              <w:rPr>
                <w:rFonts w:eastAsia="Calibri"/>
                <w:sz w:val="24"/>
                <w:szCs w:val="24"/>
              </w:rPr>
            </w:pPr>
            <w:r w:rsidRPr="00525577">
              <w:rPr>
                <w:rFonts w:eastAsia="Calibri"/>
                <w:sz w:val="24"/>
                <w:szCs w:val="24"/>
              </w:rPr>
              <w:t>45 CFR §164.404(d)(2)(</w:t>
            </w:r>
            <w:proofErr w:type="spellStart"/>
            <w:proofErr w:type="gramStart"/>
            <w:r w:rsidRPr="00525577">
              <w:rPr>
                <w:rFonts w:eastAsia="Calibri"/>
                <w:sz w:val="24"/>
                <w:szCs w:val="24"/>
              </w:rPr>
              <w:t>i</w:t>
            </w:r>
            <w:proofErr w:type="spellEnd"/>
            <w:r w:rsidRPr="00525577">
              <w:rPr>
                <w:rFonts w:eastAsia="Calibri"/>
                <w:sz w:val="24"/>
                <w:szCs w:val="24"/>
              </w:rPr>
              <w:t>)(</w:t>
            </w:r>
            <w:proofErr w:type="gramEnd"/>
            <w:r w:rsidRPr="00525577">
              <w:rPr>
                <w:rFonts w:eastAsia="Calibri"/>
                <w:sz w:val="24"/>
                <w:szCs w:val="24"/>
              </w:rPr>
              <w:t>A-B)</w:t>
            </w:r>
          </w:p>
        </w:tc>
        <w:tc>
          <w:tcPr>
            <w:tcW w:w="1846" w:type="dxa"/>
          </w:tcPr>
          <w:p w14:paraId="038DDF5F" w14:textId="4F9A1C93" w:rsidR="00325F4A" w:rsidRPr="00525577" w:rsidRDefault="00325F4A" w:rsidP="00225DB4">
            <w:pPr>
              <w:rPr>
                <w:sz w:val="24"/>
                <w:szCs w:val="24"/>
              </w:rPr>
            </w:pPr>
          </w:p>
        </w:tc>
        <w:tc>
          <w:tcPr>
            <w:tcW w:w="1772" w:type="dxa"/>
          </w:tcPr>
          <w:p w14:paraId="2284C307" w14:textId="552D3033" w:rsidR="00325F4A" w:rsidRPr="00525577" w:rsidRDefault="00325F4A" w:rsidP="00225DB4">
            <w:pPr>
              <w:rPr>
                <w:sz w:val="24"/>
                <w:szCs w:val="24"/>
              </w:rPr>
            </w:pPr>
          </w:p>
        </w:tc>
        <w:tc>
          <w:tcPr>
            <w:tcW w:w="3557" w:type="dxa"/>
          </w:tcPr>
          <w:p w14:paraId="226C6900" w14:textId="5109335E" w:rsidR="00325F4A" w:rsidRPr="00525577" w:rsidRDefault="00325F4A" w:rsidP="00225DB4">
            <w:pPr>
              <w:jc w:val="center"/>
              <w:rPr>
                <w:b/>
                <w:bCs/>
                <w:color w:val="FF0000"/>
                <w:sz w:val="24"/>
                <w:szCs w:val="24"/>
              </w:rPr>
            </w:pPr>
          </w:p>
        </w:tc>
      </w:tr>
      <w:tr w:rsidR="00325F4A" w:rsidRPr="00525577" w14:paraId="1480D492" w14:textId="77777777" w:rsidTr="00B72B6A">
        <w:tc>
          <w:tcPr>
            <w:tcW w:w="926" w:type="dxa"/>
          </w:tcPr>
          <w:p w14:paraId="1B734990" w14:textId="4FEA1E0F" w:rsidR="00325F4A" w:rsidRPr="00525577" w:rsidRDefault="00325F4A" w:rsidP="00225DB4">
            <w:pPr>
              <w:rPr>
                <w:sz w:val="24"/>
                <w:szCs w:val="24"/>
              </w:rPr>
            </w:pPr>
            <w:r w:rsidRPr="00525577">
              <w:rPr>
                <w:sz w:val="24"/>
                <w:szCs w:val="24"/>
              </w:rPr>
              <w:t>12.8c.2</w:t>
            </w:r>
          </w:p>
        </w:tc>
        <w:tc>
          <w:tcPr>
            <w:tcW w:w="3547" w:type="dxa"/>
          </w:tcPr>
          <w:p w14:paraId="03F98084" w14:textId="77777777" w:rsidR="00325F4A" w:rsidRPr="00525577" w:rsidRDefault="00325F4A" w:rsidP="00225DB4">
            <w:pPr>
              <w:rPr>
                <w:rFonts w:eastAsia="Calibri"/>
                <w:sz w:val="24"/>
                <w:szCs w:val="24"/>
              </w:rPr>
            </w:pPr>
            <w:r w:rsidRPr="00525577">
              <w:rPr>
                <w:rFonts w:eastAsia="Calibri"/>
                <w:sz w:val="24"/>
                <w:szCs w:val="24"/>
              </w:rPr>
              <w:t>2</w:t>
            </w:r>
            <w:proofErr w:type="gramStart"/>
            <w:r w:rsidRPr="00525577">
              <w:rPr>
                <w:rFonts w:eastAsia="Calibri"/>
                <w:sz w:val="24"/>
                <w:szCs w:val="24"/>
              </w:rPr>
              <w:t xml:space="preserve">. </w:t>
            </w:r>
            <w:r w:rsidRPr="00525577">
              <w:rPr>
                <w:sz w:val="24"/>
                <w:szCs w:val="24"/>
              </w:rPr>
              <w:tab/>
            </w:r>
            <w:r w:rsidRPr="00525577">
              <w:rPr>
                <w:rFonts w:eastAsia="Calibri"/>
                <w:sz w:val="24"/>
                <w:szCs w:val="24"/>
              </w:rPr>
              <w:t>Include</w:t>
            </w:r>
            <w:proofErr w:type="gramEnd"/>
            <w:r w:rsidRPr="00525577">
              <w:rPr>
                <w:rFonts w:eastAsia="Calibri"/>
                <w:sz w:val="24"/>
                <w:szCs w:val="24"/>
              </w:rPr>
              <w:t xml:space="preserve"> a toll-free phone number that remains active for at least 90 days where an individual can learn whether the individual's unsecured protected health </w:t>
            </w:r>
            <w:r w:rsidRPr="00525577">
              <w:rPr>
                <w:rFonts w:eastAsia="Calibri"/>
                <w:sz w:val="24"/>
                <w:szCs w:val="24"/>
              </w:rPr>
              <w:lastRenderedPageBreak/>
              <w:t>information may be included in the breach.</w:t>
            </w:r>
          </w:p>
          <w:p w14:paraId="542C47ED" w14:textId="77777777" w:rsidR="006A5077" w:rsidRPr="00525577" w:rsidRDefault="006A5077" w:rsidP="00225DB4">
            <w:pPr>
              <w:rPr>
                <w:rFonts w:eastAsia="Calibri"/>
                <w:sz w:val="24"/>
                <w:szCs w:val="24"/>
              </w:rPr>
            </w:pPr>
          </w:p>
          <w:p w14:paraId="486DFDCD" w14:textId="373530C3" w:rsidR="00325F4A" w:rsidRPr="00525577" w:rsidRDefault="00325F4A" w:rsidP="00225DB4">
            <w:pPr>
              <w:rPr>
                <w:rFonts w:eastAsia="Calibri"/>
                <w:sz w:val="24"/>
                <w:szCs w:val="24"/>
              </w:rPr>
            </w:pPr>
          </w:p>
          <w:p w14:paraId="17A7221A" w14:textId="77777777" w:rsidR="009E626F" w:rsidRPr="00525577" w:rsidRDefault="009E626F" w:rsidP="00225DB4">
            <w:pPr>
              <w:rPr>
                <w:rFonts w:eastAsia="Calibri"/>
                <w:sz w:val="24"/>
                <w:szCs w:val="24"/>
              </w:rPr>
            </w:pPr>
          </w:p>
          <w:p w14:paraId="6FC9F020" w14:textId="7B4711DB" w:rsidR="00325F4A" w:rsidRPr="00525577" w:rsidRDefault="00325F4A" w:rsidP="00225DB4">
            <w:pPr>
              <w:rPr>
                <w:rFonts w:eastAsia="Calibri"/>
                <w:sz w:val="24"/>
                <w:szCs w:val="24"/>
              </w:rPr>
            </w:pPr>
          </w:p>
        </w:tc>
        <w:tc>
          <w:tcPr>
            <w:tcW w:w="2615" w:type="dxa"/>
            <w:vMerge/>
          </w:tcPr>
          <w:p w14:paraId="7C048FBF" w14:textId="020BA8A1" w:rsidR="00325F4A" w:rsidRPr="00525577" w:rsidRDefault="00325F4A" w:rsidP="00225DB4">
            <w:pPr>
              <w:rPr>
                <w:rFonts w:eastAsia="Calibri"/>
                <w:sz w:val="24"/>
                <w:szCs w:val="24"/>
              </w:rPr>
            </w:pPr>
          </w:p>
        </w:tc>
        <w:tc>
          <w:tcPr>
            <w:tcW w:w="1846" w:type="dxa"/>
          </w:tcPr>
          <w:p w14:paraId="28FC3683" w14:textId="3AA6A2A9" w:rsidR="00325F4A" w:rsidRPr="00525577" w:rsidRDefault="00325F4A" w:rsidP="00225DB4">
            <w:pPr>
              <w:rPr>
                <w:sz w:val="24"/>
                <w:szCs w:val="24"/>
              </w:rPr>
            </w:pPr>
          </w:p>
        </w:tc>
        <w:tc>
          <w:tcPr>
            <w:tcW w:w="1772" w:type="dxa"/>
          </w:tcPr>
          <w:p w14:paraId="4640887F" w14:textId="36A10A67" w:rsidR="00325F4A" w:rsidRPr="00525577" w:rsidRDefault="00325F4A" w:rsidP="00225DB4">
            <w:pPr>
              <w:rPr>
                <w:sz w:val="24"/>
                <w:szCs w:val="24"/>
              </w:rPr>
            </w:pPr>
          </w:p>
        </w:tc>
        <w:tc>
          <w:tcPr>
            <w:tcW w:w="3557" w:type="dxa"/>
          </w:tcPr>
          <w:p w14:paraId="73DE07A1" w14:textId="4F7EDDA0" w:rsidR="00325F4A" w:rsidRPr="00525577" w:rsidRDefault="00325F4A" w:rsidP="00225DB4">
            <w:pPr>
              <w:jc w:val="center"/>
              <w:rPr>
                <w:b/>
                <w:bCs/>
                <w:sz w:val="24"/>
                <w:szCs w:val="24"/>
              </w:rPr>
            </w:pPr>
          </w:p>
        </w:tc>
      </w:tr>
      <w:tr w:rsidR="00EC4529" w:rsidRPr="00525577" w14:paraId="6B8277F9" w14:textId="3544B4D9" w:rsidTr="00566FE0">
        <w:tc>
          <w:tcPr>
            <w:tcW w:w="14263" w:type="dxa"/>
            <w:gridSpan w:val="6"/>
          </w:tcPr>
          <w:p w14:paraId="27DAAB4C" w14:textId="27E3213D" w:rsidR="00EC4529" w:rsidRPr="00525577" w:rsidRDefault="00566FE0" w:rsidP="00225DB4">
            <w:pPr>
              <w:rPr>
                <w:b/>
                <w:sz w:val="24"/>
                <w:szCs w:val="24"/>
              </w:rPr>
            </w:pPr>
            <w:r w:rsidRPr="00525577">
              <w:rPr>
                <w:rFonts w:eastAsia="Calibri"/>
                <w:b/>
                <w:sz w:val="24"/>
                <w:szCs w:val="24"/>
              </w:rPr>
              <w:t xml:space="preserve">Administrative Safeguards - </w:t>
            </w:r>
            <w:r w:rsidR="00EC4529" w:rsidRPr="00525577">
              <w:rPr>
                <w:b/>
                <w:sz w:val="24"/>
                <w:szCs w:val="24"/>
              </w:rPr>
              <w:t>Workforce Management</w:t>
            </w:r>
            <w:r w:rsidRPr="00525577">
              <w:rPr>
                <w:b/>
                <w:sz w:val="24"/>
                <w:szCs w:val="24"/>
              </w:rPr>
              <w:t>:</w:t>
            </w:r>
            <w:r w:rsidR="00D60439" w:rsidRPr="00525577">
              <w:rPr>
                <w:b/>
                <w:sz w:val="24"/>
                <w:szCs w:val="24"/>
              </w:rPr>
              <w:t xml:space="preserve"> </w:t>
            </w:r>
          </w:p>
        </w:tc>
      </w:tr>
      <w:tr w:rsidR="00EC4529" w:rsidRPr="00525577" w14:paraId="2D7D3FD1" w14:textId="0AEA3A82" w:rsidTr="00B72B6A">
        <w:tc>
          <w:tcPr>
            <w:tcW w:w="926" w:type="dxa"/>
          </w:tcPr>
          <w:p w14:paraId="50A605CA" w14:textId="3BD6D8FB" w:rsidR="00EC4529" w:rsidRPr="00525577" w:rsidRDefault="00237C61" w:rsidP="00225DB4">
            <w:pPr>
              <w:rPr>
                <w:rFonts w:cstheme="minorHAnsi"/>
                <w:sz w:val="24"/>
                <w:szCs w:val="24"/>
              </w:rPr>
            </w:pPr>
            <w:r w:rsidRPr="00525577">
              <w:rPr>
                <w:sz w:val="24"/>
                <w:szCs w:val="24"/>
              </w:rPr>
              <w:t>12.9</w:t>
            </w:r>
          </w:p>
        </w:tc>
        <w:tc>
          <w:tcPr>
            <w:tcW w:w="3547" w:type="dxa"/>
          </w:tcPr>
          <w:p w14:paraId="0C38F0C0" w14:textId="2718B127" w:rsidR="00EC4529" w:rsidRPr="00525577" w:rsidRDefault="00EC4529" w:rsidP="00225DB4">
            <w:pPr>
              <w:rPr>
                <w:rFonts w:cstheme="minorHAnsi"/>
                <w:sz w:val="24"/>
                <w:szCs w:val="24"/>
              </w:rPr>
            </w:pPr>
            <w:r w:rsidRPr="00525577">
              <w:rPr>
                <w:rFonts w:eastAsia="Calibri" w:cstheme="minorHAnsi"/>
                <w:sz w:val="24"/>
                <w:szCs w:val="24"/>
              </w:rPr>
              <w:t xml:space="preserve">Job descriptions, policies, or procedures are used to determine who has the authority to </w:t>
            </w:r>
            <w:proofErr w:type="gramStart"/>
            <w:r w:rsidRPr="00525577">
              <w:rPr>
                <w:rFonts w:eastAsia="Calibri" w:cstheme="minorHAnsi"/>
                <w:sz w:val="24"/>
                <w:szCs w:val="24"/>
              </w:rPr>
              <w:t>authorized</w:t>
            </w:r>
            <w:proofErr w:type="gramEnd"/>
            <w:r w:rsidRPr="00525577">
              <w:rPr>
                <w:rFonts w:eastAsia="Calibri" w:cstheme="minorHAnsi"/>
                <w:sz w:val="24"/>
                <w:szCs w:val="24"/>
              </w:rPr>
              <w:t xml:space="preserve"> access to PHI.</w:t>
            </w:r>
          </w:p>
        </w:tc>
        <w:tc>
          <w:tcPr>
            <w:tcW w:w="2615" w:type="dxa"/>
            <w:vMerge w:val="restart"/>
          </w:tcPr>
          <w:p w14:paraId="0C67231F" w14:textId="77777777" w:rsidR="00237C61" w:rsidRPr="00525577" w:rsidRDefault="00EC4529" w:rsidP="00225DB4">
            <w:pPr>
              <w:rPr>
                <w:rFonts w:eastAsia="Calibri" w:cstheme="minorHAnsi"/>
                <w:sz w:val="24"/>
                <w:szCs w:val="24"/>
              </w:rPr>
            </w:pPr>
            <w:r w:rsidRPr="00525577">
              <w:rPr>
                <w:rFonts w:eastAsia="Calibri" w:cstheme="minorHAnsi"/>
                <w:sz w:val="24"/>
                <w:szCs w:val="24"/>
              </w:rPr>
              <w:t xml:space="preserve">HIPAA Security and Privacy, </w:t>
            </w:r>
          </w:p>
          <w:p w14:paraId="68D7A993" w14:textId="77777777" w:rsidR="00237C61" w:rsidRPr="00525577" w:rsidRDefault="00EC4529" w:rsidP="00225DB4">
            <w:pPr>
              <w:rPr>
                <w:rFonts w:eastAsia="Calibri" w:cstheme="minorHAnsi"/>
                <w:sz w:val="24"/>
                <w:szCs w:val="24"/>
              </w:rPr>
            </w:pPr>
            <w:r w:rsidRPr="00525577">
              <w:rPr>
                <w:rFonts w:eastAsia="Calibri" w:cstheme="minorHAnsi"/>
                <w:sz w:val="24"/>
                <w:szCs w:val="24"/>
              </w:rPr>
              <w:t xml:space="preserve">45 CFR Parts 160 &amp; 164 Subparts A, B, </w:t>
            </w:r>
            <w:proofErr w:type="gramStart"/>
            <w:r w:rsidRPr="00525577">
              <w:rPr>
                <w:rFonts w:eastAsia="Calibri" w:cstheme="minorHAnsi"/>
                <w:sz w:val="24"/>
                <w:szCs w:val="24"/>
              </w:rPr>
              <w:t>C ,</w:t>
            </w:r>
            <w:proofErr w:type="gramEnd"/>
            <w:r w:rsidRPr="00525577">
              <w:rPr>
                <w:rFonts w:eastAsia="Calibri" w:cstheme="minorHAnsi"/>
                <w:sz w:val="24"/>
                <w:szCs w:val="24"/>
              </w:rPr>
              <w:t xml:space="preserve"> D, </w:t>
            </w:r>
            <w:proofErr w:type="gramStart"/>
            <w:r w:rsidRPr="00525577">
              <w:rPr>
                <w:rFonts w:eastAsia="Calibri" w:cstheme="minorHAnsi"/>
                <w:sz w:val="24"/>
                <w:szCs w:val="24"/>
              </w:rPr>
              <w:t>E;</w:t>
            </w:r>
            <w:proofErr w:type="gramEnd"/>
            <w:r w:rsidRPr="00525577">
              <w:rPr>
                <w:rFonts w:eastAsia="Calibri" w:cstheme="minorHAnsi"/>
                <w:sz w:val="24"/>
                <w:szCs w:val="24"/>
              </w:rPr>
              <w:t xml:space="preserve"> </w:t>
            </w:r>
          </w:p>
          <w:p w14:paraId="464E9287" w14:textId="6D2FA3B8" w:rsidR="00237C61" w:rsidRPr="00525577" w:rsidRDefault="00237C61" w:rsidP="00225DB4">
            <w:pPr>
              <w:rPr>
                <w:rFonts w:eastAsia="Calibri"/>
                <w:sz w:val="24"/>
                <w:szCs w:val="24"/>
              </w:rPr>
            </w:pPr>
          </w:p>
          <w:p w14:paraId="561F011F" w14:textId="68BE5647" w:rsidR="00237C61" w:rsidRPr="00525577" w:rsidRDefault="00EC4529" w:rsidP="00225DB4">
            <w:pPr>
              <w:rPr>
                <w:sz w:val="24"/>
                <w:szCs w:val="24"/>
              </w:rPr>
            </w:pPr>
            <w:r w:rsidRPr="00525577">
              <w:rPr>
                <w:rFonts w:eastAsia="Calibri"/>
                <w:sz w:val="24"/>
                <w:szCs w:val="24"/>
              </w:rPr>
              <w:t xml:space="preserve">LRE/CMHSP Participant contract delegation grid; </w:t>
            </w:r>
            <w:proofErr w:type="gramStart"/>
            <w:r w:rsidRPr="00525577">
              <w:rPr>
                <w:rFonts w:eastAsia="Calibri"/>
                <w:sz w:val="24"/>
                <w:szCs w:val="24"/>
              </w:rPr>
              <w:t>Commonly-accepted</w:t>
            </w:r>
            <w:proofErr w:type="gramEnd"/>
            <w:r w:rsidRPr="00525577">
              <w:rPr>
                <w:rFonts w:eastAsia="Calibri"/>
                <w:sz w:val="24"/>
                <w:szCs w:val="24"/>
              </w:rPr>
              <w:t xml:space="preserve"> IT practices</w:t>
            </w:r>
          </w:p>
          <w:p w14:paraId="7E7ADF8B" w14:textId="5B0309BD" w:rsidR="00237C61" w:rsidRPr="00525577" w:rsidRDefault="00237C61" w:rsidP="00225DB4">
            <w:pPr>
              <w:rPr>
                <w:rFonts w:eastAsia="Calibri"/>
                <w:sz w:val="24"/>
                <w:szCs w:val="24"/>
              </w:rPr>
            </w:pPr>
          </w:p>
          <w:p w14:paraId="7F78AB78" w14:textId="4F582B8B" w:rsidR="00EC4529" w:rsidRPr="00525577" w:rsidRDefault="00EC4529" w:rsidP="00225DB4">
            <w:pPr>
              <w:rPr>
                <w:rFonts w:cstheme="minorHAnsi"/>
                <w:sz w:val="24"/>
                <w:szCs w:val="24"/>
              </w:rPr>
            </w:pPr>
          </w:p>
        </w:tc>
        <w:tc>
          <w:tcPr>
            <w:tcW w:w="1846" w:type="dxa"/>
          </w:tcPr>
          <w:p w14:paraId="535723DD" w14:textId="7A6269C7" w:rsidR="00EC4529" w:rsidRPr="00525577" w:rsidRDefault="00EC4529" w:rsidP="00225DB4">
            <w:pPr>
              <w:rPr>
                <w:rFonts w:cstheme="minorHAnsi"/>
                <w:sz w:val="24"/>
                <w:szCs w:val="24"/>
              </w:rPr>
            </w:pPr>
          </w:p>
        </w:tc>
        <w:tc>
          <w:tcPr>
            <w:tcW w:w="1772" w:type="dxa"/>
          </w:tcPr>
          <w:p w14:paraId="5107A622" w14:textId="77777777" w:rsidR="00EC4529" w:rsidRPr="00525577" w:rsidRDefault="00EC4529" w:rsidP="00225DB4">
            <w:pPr>
              <w:rPr>
                <w:rFonts w:cstheme="minorHAnsi"/>
                <w:sz w:val="24"/>
                <w:szCs w:val="24"/>
              </w:rPr>
            </w:pPr>
          </w:p>
        </w:tc>
        <w:tc>
          <w:tcPr>
            <w:tcW w:w="3557" w:type="dxa"/>
          </w:tcPr>
          <w:p w14:paraId="56D35408" w14:textId="0FA81BC6" w:rsidR="00EC4529" w:rsidRPr="00525577" w:rsidRDefault="00EC4529" w:rsidP="00225DB4">
            <w:pPr>
              <w:jc w:val="center"/>
              <w:rPr>
                <w:rFonts w:cstheme="minorHAnsi"/>
                <w:b/>
                <w:bCs/>
                <w:color w:val="FF0000"/>
                <w:sz w:val="24"/>
                <w:szCs w:val="24"/>
              </w:rPr>
            </w:pPr>
          </w:p>
        </w:tc>
      </w:tr>
      <w:tr w:rsidR="00EC4529" w:rsidRPr="00525577" w14:paraId="6216B6B7" w14:textId="044BA9B3" w:rsidTr="00B72B6A">
        <w:tc>
          <w:tcPr>
            <w:tcW w:w="926" w:type="dxa"/>
          </w:tcPr>
          <w:p w14:paraId="5F435C42" w14:textId="6F13389B" w:rsidR="00EC4529" w:rsidRPr="00525577" w:rsidRDefault="00237C61" w:rsidP="00225DB4">
            <w:pPr>
              <w:rPr>
                <w:rFonts w:cstheme="minorHAnsi"/>
                <w:sz w:val="24"/>
                <w:szCs w:val="24"/>
              </w:rPr>
            </w:pPr>
            <w:r w:rsidRPr="00525577">
              <w:rPr>
                <w:sz w:val="24"/>
                <w:szCs w:val="24"/>
              </w:rPr>
              <w:t>12.10</w:t>
            </w:r>
          </w:p>
        </w:tc>
        <w:tc>
          <w:tcPr>
            <w:tcW w:w="3547" w:type="dxa"/>
          </w:tcPr>
          <w:p w14:paraId="36372FD0" w14:textId="305723CD" w:rsidR="00EC4529" w:rsidRPr="00525577" w:rsidRDefault="00EC4529" w:rsidP="00225DB4">
            <w:pPr>
              <w:rPr>
                <w:rFonts w:cstheme="minorHAnsi"/>
                <w:sz w:val="24"/>
                <w:szCs w:val="24"/>
              </w:rPr>
            </w:pPr>
            <w:r w:rsidRPr="00525577">
              <w:rPr>
                <w:rFonts w:eastAsia="Calibri" w:cstheme="minorHAnsi"/>
                <w:sz w:val="24"/>
                <w:szCs w:val="24"/>
              </w:rPr>
              <w:t>Policies or procedures are in place for determining acceptable use for remote access users.</w:t>
            </w:r>
          </w:p>
        </w:tc>
        <w:tc>
          <w:tcPr>
            <w:tcW w:w="2615" w:type="dxa"/>
            <w:vMerge/>
          </w:tcPr>
          <w:p w14:paraId="7E31FE40" w14:textId="3EAEF590" w:rsidR="00EC4529" w:rsidRPr="00525577" w:rsidRDefault="00EC4529" w:rsidP="00225DB4">
            <w:pPr>
              <w:rPr>
                <w:rFonts w:cstheme="minorHAnsi"/>
                <w:sz w:val="24"/>
                <w:szCs w:val="24"/>
              </w:rPr>
            </w:pPr>
          </w:p>
        </w:tc>
        <w:tc>
          <w:tcPr>
            <w:tcW w:w="1846" w:type="dxa"/>
          </w:tcPr>
          <w:p w14:paraId="5EF3C639" w14:textId="77777777" w:rsidR="00EC4529" w:rsidRPr="00525577" w:rsidRDefault="00EC4529" w:rsidP="00225DB4">
            <w:pPr>
              <w:rPr>
                <w:rFonts w:cstheme="minorHAnsi"/>
                <w:sz w:val="24"/>
                <w:szCs w:val="24"/>
              </w:rPr>
            </w:pPr>
          </w:p>
        </w:tc>
        <w:tc>
          <w:tcPr>
            <w:tcW w:w="1772" w:type="dxa"/>
          </w:tcPr>
          <w:p w14:paraId="490864FA" w14:textId="77777777" w:rsidR="00EC4529" w:rsidRPr="00525577" w:rsidRDefault="00EC4529" w:rsidP="00225DB4">
            <w:pPr>
              <w:rPr>
                <w:rFonts w:cstheme="minorHAnsi"/>
                <w:sz w:val="24"/>
                <w:szCs w:val="24"/>
              </w:rPr>
            </w:pPr>
          </w:p>
        </w:tc>
        <w:tc>
          <w:tcPr>
            <w:tcW w:w="3557" w:type="dxa"/>
          </w:tcPr>
          <w:p w14:paraId="65B9F5FE" w14:textId="43758CD2" w:rsidR="00EC4529" w:rsidRPr="00525577" w:rsidRDefault="00EC4529" w:rsidP="00225DB4">
            <w:pPr>
              <w:jc w:val="center"/>
              <w:rPr>
                <w:rFonts w:cstheme="minorHAnsi"/>
                <w:b/>
                <w:bCs/>
                <w:color w:val="FF0000"/>
                <w:sz w:val="24"/>
                <w:szCs w:val="24"/>
              </w:rPr>
            </w:pPr>
          </w:p>
        </w:tc>
      </w:tr>
      <w:tr w:rsidR="00EC4529" w:rsidRPr="00525577" w14:paraId="30C66864" w14:textId="2A1EF36E" w:rsidTr="00B72B6A">
        <w:tc>
          <w:tcPr>
            <w:tcW w:w="926" w:type="dxa"/>
          </w:tcPr>
          <w:p w14:paraId="3C2851F9" w14:textId="0ADCA099" w:rsidR="00EC4529" w:rsidRPr="00525577" w:rsidRDefault="00237C61" w:rsidP="00225DB4">
            <w:pPr>
              <w:rPr>
                <w:rFonts w:cstheme="minorHAnsi"/>
                <w:sz w:val="24"/>
                <w:szCs w:val="24"/>
              </w:rPr>
            </w:pPr>
            <w:r w:rsidRPr="00525577">
              <w:rPr>
                <w:sz w:val="24"/>
                <w:szCs w:val="24"/>
              </w:rPr>
              <w:t>12.11</w:t>
            </w:r>
          </w:p>
        </w:tc>
        <w:tc>
          <w:tcPr>
            <w:tcW w:w="3547" w:type="dxa"/>
          </w:tcPr>
          <w:p w14:paraId="71DDA0BC" w14:textId="17E88BF1" w:rsidR="00EC4529" w:rsidRPr="00525577" w:rsidRDefault="00EC4529" w:rsidP="00225DB4">
            <w:pPr>
              <w:rPr>
                <w:rFonts w:cstheme="minorHAnsi"/>
                <w:sz w:val="24"/>
                <w:szCs w:val="24"/>
              </w:rPr>
            </w:pPr>
            <w:r w:rsidRPr="00525577">
              <w:rPr>
                <w:rFonts w:eastAsia="Calibri" w:cstheme="minorHAnsi"/>
                <w:sz w:val="24"/>
                <w:szCs w:val="24"/>
              </w:rPr>
              <w:t>Policies or procedures are in place to ensure existing access to PHI is monitored on a regular basis, and that access to PHI Is removed when no longer required for a job function.</w:t>
            </w:r>
          </w:p>
        </w:tc>
        <w:tc>
          <w:tcPr>
            <w:tcW w:w="2615" w:type="dxa"/>
            <w:vMerge/>
          </w:tcPr>
          <w:p w14:paraId="5E6C3FFC" w14:textId="77777777" w:rsidR="00EC4529" w:rsidRPr="00525577" w:rsidRDefault="00EC4529" w:rsidP="00225DB4">
            <w:pPr>
              <w:rPr>
                <w:rFonts w:cstheme="minorHAnsi"/>
                <w:sz w:val="24"/>
                <w:szCs w:val="24"/>
              </w:rPr>
            </w:pPr>
          </w:p>
        </w:tc>
        <w:tc>
          <w:tcPr>
            <w:tcW w:w="1846" w:type="dxa"/>
          </w:tcPr>
          <w:p w14:paraId="79DF91C4" w14:textId="77777777" w:rsidR="00EC4529" w:rsidRPr="00525577" w:rsidRDefault="00EC4529" w:rsidP="00225DB4">
            <w:pPr>
              <w:rPr>
                <w:rFonts w:cstheme="minorHAnsi"/>
                <w:sz w:val="24"/>
                <w:szCs w:val="24"/>
              </w:rPr>
            </w:pPr>
          </w:p>
        </w:tc>
        <w:tc>
          <w:tcPr>
            <w:tcW w:w="1772" w:type="dxa"/>
          </w:tcPr>
          <w:p w14:paraId="10E809A3" w14:textId="77777777" w:rsidR="00EC4529" w:rsidRPr="00525577" w:rsidRDefault="00EC4529" w:rsidP="00225DB4">
            <w:pPr>
              <w:rPr>
                <w:rFonts w:cstheme="minorHAnsi"/>
                <w:sz w:val="24"/>
                <w:szCs w:val="24"/>
              </w:rPr>
            </w:pPr>
          </w:p>
        </w:tc>
        <w:tc>
          <w:tcPr>
            <w:tcW w:w="3557" w:type="dxa"/>
          </w:tcPr>
          <w:p w14:paraId="006D9ADB" w14:textId="1008FA43" w:rsidR="00EC4529" w:rsidRPr="00525577" w:rsidRDefault="00EC4529" w:rsidP="00225DB4">
            <w:pPr>
              <w:jc w:val="center"/>
              <w:rPr>
                <w:rFonts w:cstheme="minorHAnsi"/>
                <w:b/>
                <w:bCs/>
                <w:color w:val="FF0000"/>
                <w:sz w:val="24"/>
                <w:szCs w:val="24"/>
              </w:rPr>
            </w:pPr>
          </w:p>
        </w:tc>
      </w:tr>
      <w:tr w:rsidR="00EC4529" w:rsidRPr="00525577" w14:paraId="3033DFBA" w14:textId="07DA7983" w:rsidTr="00B72B6A">
        <w:tc>
          <w:tcPr>
            <w:tcW w:w="926" w:type="dxa"/>
          </w:tcPr>
          <w:p w14:paraId="51B2CC17" w14:textId="34379AAE" w:rsidR="00EC4529" w:rsidRPr="00525577" w:rsidRDefault="00237C61" w:rsidP="00225DB4">
            <w:pPr>
              <w:rPr>
                <w:rFonts w:cstheme="minorHAnsi"/>
                <w:sz w:val="24"/>
                <w:szCs w:val="24"/>
              </w:rPr>
            </w:pPr>
            <w:r w:rsidRPr="00525577">
              <w:rPr>
                <w:sz w:val="24"/>
                <w:szCs w:val="24"/>
              </w:rPr>
              <w:lastRenderedPageBreak/>
              <w:t>12.12</w:t>
            </w:r>
          </w:p>
        </w:tc>
        <w:tc>
          <w:tcPr>
            <w:tcW w:w="3547" w:type="dxa"/>
          </w:tcPr>
          <w:p w14:paraId="534C753B" w14:textId="0B2DE23F" w:rsidR="00EC4529" w:rsidRPr="00525577" w:rsidRDefault="00EC4529" w:rsidP="00225DB4">
            <w:pPr>
              <w:rPr>
                <w:rFonts w:cstheme="minorHAnsi"/>
                <w:sz w:val="24"/>
                <w:szCs w:val="24"/>
              </w:rPr>
            </w:pPr>
            <w:r w:rsidRPr="00525577">
              <w:rPr>
                <w:rFonts w:eastAsia="Calibri" w:cstheme="minorHAnsi"/>
                <w:sz w:val="24"/>
                <w:szCs w:val="24"/>
              </w:rPr>
              <w:t xml:space="preserve">Policies or procedures are in place for disabling </w:t>
            </w:r>
            <w:proofErr w:type="gramStart"/>
            <w:r w:rsidRPr="00525577">
              <w:rPr>
                <w:rFonts w:eastAsia="Calibri" w:cstheme="minorHAnsi"/>
                <w:sz w:val="24"/>
                <w:szCs w:val="24"/>
              </w:rPr>
              <w:t>employee</w:t>
            </w:r>
            <w:proofErr w:type="gramEnd"/>
            <w:r w:rsidRPr="00525577">
              <w:rPr>
                <w:rFonts w:eastAsia="Calibri" w:cstheme="minorHAnsi"/>
                <w:sz w:val="24"/>
                <w:szCs w:val="24"/>
              </w:rPr>
              <w:t xml:space="preserve"> </w:t>
            </w:r>
            <w:proofErr w:type="gramStart"/>
            <w:r w:rsidRPr="00525577">
              <w:rPr>
                <w:rFonts w:eastAsia="Calibri" w:cstheme="minorHAnsi"/>
                <w:sz w:val="24"/>
                <w:szCs w:val="24"/>
              </w:rPr>
              <w:t>access to</w:t>
            </w:r>
            <w:proofErr w:type="gramEnd"/>
            <w:r w:rsidRPr="00525577">
              <w:rPr>
                <w:rFonts w:eastAsia="Calibri" w:cstheme="minorHAnsi"/>
                <w:sz w:val="24"/>
                <w:szCs w:val="24"/>
              </w:rPr>
              <w:t xml:space="preserve"> PHI when an employee is terminated or leaves the agency.</w:t>
            </w:r>
          </w:p>
        </w:tc>
        <w:tc>
          <w:tcPr>
            <w:tcW w:w="2615" w:type="dxa"/>
            <w:vMerge/>
          </w:tcPr>
          <w:p w14:paraId="373A4156" w14:textId="77777777" w:rsidR="00EC4529" w:rsidRPr="00525577" w:rsidRDefault="00EC4529" w:rsidP="00225DB4">
            <w:pPr>
              <w:rPr>
                <w:rFonts w:cstheme="minorHAnsi"/>
                <w:sz w:val="24"/>
                <w:szCs w:val="24"/>
              </w:rPr>
            </w:pPr>
          </w:p>
        </w:tc>
        <w:tc>
          <w:tcPr>
            <w:tcW w:w="1846" w:type="dxa"/>
          </w:tcPr>
          <w:p w14:paraId="50E93F1B" w14:textId="77777777" w:rsidR="00EC4529" w:rsidRPr="00525577" w:rsidRDefault="00EC4529" w:rsidP="00225DB4">
            <w:pPr>
              <w:rPr>
                <w:rFonts w:cstheme="minorHAnsi"/>
                <w:sz w:val="24"/>
                <w:szCs w:val="24"/>
              </w:rPr>
            </w:pPr>
          </w:p>
        </w:tc>
        <w:tc>
          <w:tcPr>
            <w:tcW w:w="1772" w:type="dxa"/>
          </w:tcPr>
          <w:p w14:paraId="1F26D7DC" w14:textId="77777777" w:rsidR="00EC4529" w:rsidRPr="00525577" w:rsidRDefault="00EC4529" w:rsidP="00225DB4">
            <w:pPr>
              <w:rPr>
                <w:rFonts w:cstheme="minorHAnsi"/>
                <w:sz w:val="24"/>
                <w:szCs w:val="24"/>
              </w:rPr>
            </w:pPr>
          </w:p>
        </w:tc>
        <w:tc>
          <w:tcPr>
            <w:tcW w:w="3557" w:type="dxa"/>
          </w:tcPr>
          <w:p w14:paraId="637441AC" w14:textId="46A055D0" w:rsidR="00EC4529" w:rsidRPr="00525577" w:rsidRDefault="00EC4529" w:rsidP="00225DB4">
            <w:pPr>
              <w:jc w:val="center"/>
              <w:rPr>
                <w:rFonts w:cstheme="minorHAnsi"/>
                <w:b/>
                <w:bCs/>
                <w:color w:val="FF0000"/>
                <w:sz w:val="24"/>
                <w:szCs w:val="24"/>
              </w:rPr>
            </w:pPr>
          </w:p>
        </w:tc>
      </w:tr>
      <w:tr w:rsidR="00EC4529" w:rsidRPr="00525577" w14:paraId="3408D918" w14:textId="7E0859D5" w:rsidTr="00B72B6A">
        <w:tc>
          <w:tcPr>
            <w:tcW w:w="926" w:type="dxa"/>
          </w:tcPr>
          <w:p w14:paraId="4E77FC6A" w14:textId="34D5C938" w:rsidR="00EC4529" w:rsidRPr="00525577" w:rsidRDefault="00237C61" w:rsidP="00225DB4">
            <w:pPr>
              <w:rPr>
                <w:sz w:val="24"/>
                <w:szCs w:val="24"/>
              </w:rPr>
            </w:pPr>
            <w:r w:rsidRPr="00525577">
              <w:rPr>
                <w:sz w:val="24"/>
                <w:szCs w:val="24"/>
              </w:rPr>
              <w:t>12.13</w:t>
            </w:r>
          </w:p>
        </w:tc>
        <w:tc>
          <w:tcPr>
            <w:tcW w:w="3547" w:type="dxa"/>
          </w:tcPr>
          <w:p w14:paraId="6C1B3DC8" w14:textId="1D2C2009" w:rsidR="00EC4529" w:rsidRPr="00525577" w:rsidRDefault="00EC4529" w:rsidP="00225DB4">
            <w:pPr>
              <w:rPr>
                <w:rFonts w:cstheme="minorHAnsi"/>
                <w:sz w:val="24"/>
                <w:szCs w:val="24"/>
              </w:rPr>
            </w:pPr>
            <w:r w:rsidRPr="00525577">
              <w:rPr>
                <w:rFonts w:eastAsia="Calibri" w:cstheme="minorHAnsi"/>
                <w:sz w:val="24"/>
                <w:szCs w:val="24"/>
              </w:rPr>
              <w:t>The CMHSP has a process for identification of IT needs and assuring adequate IT resource allocation to fulfill contractually obligated functions.</w:t>
            </w:r>
          </w:p>
        </w:tc>
        <w:tc>
          <w:tcPr>
            <w:tcW w:w="2615" w:type="dxa"/>
            <w:vMerge/>
          </w:tcPr>
          <w:p w14:paraId="6C1E023D" w14:textId="116B243C" w:rsidR="00EC4529" w:rsidRPr="00525577" w:rsidRDefault="00EC4529" w:rsidP="00225DB4">
            <w:pPr>
              <w:rPr>
                <w:rFonts w:cstheme="minorHAnsi"/>
                <w:sz w:val="24"/>
                <w:szCs w:val="24"/>
              </w:rPr>
            </w:pPr>
          </w:p>
        </w:tc>
        <w:tc>
          <w:tcPr>
            <w:tcW w:w="1846" w:type="dxa"/>
          </w:tcPr>
          <w:p w14:paraId="5648BD3E" w14:textId="77777777" w:rsidR="00EC4529" w:rsidRPr="00525577" w:rsidRDefault="00EC4529" w:rsidP="00225DB4">
            <w:pPr>
              <w:rPr>
                <w:rFonts w:cstheme="minorHAnsi"/>
                <w:sz w:val="24"/>
                <w:szCs w:val="24"/>
              </w:rPr>
            </w:pPr>
          </w:p>
        </w:tc>
        <w:tc>
          <w:tcPr>
            <w:tcW w:w="1772" w:type="dxa"/>
          </w:tcPr>
          <w:p w14:paraId="3F90E0B2" w14:textId="77777777" w:rsidR="00EC4529" w:rsidRPr="00525577" w:rsidRDefault="00EC4529" w:rsidP="00225DB4">
            <w:pPr>
              <w:rPr>
                <w:rFonts w:cstheme="minorHAnsi"/>
                <w:sz w:val="24"/>
                <w:szCs w:val="24"/>
              </w:rPr>
            </w:pPr>
          </w:p>
        </w:tc>
        <w:tc>
          <w:tcPr>
            <w:tcW w:w="3557" w:type="dxa"/>
          </w:tcPr>
          <w:p w14:paraId="216B2995" w14:textId="164A9770" w:rsidR="00EC4529" w:rsidRPr="00525577" w:rsidRDefault="00EC4529" w:rsidP="00225DB4">
            <w:pPr>
              <w:jc w:val="center"/>
              <w:rPr>
                <w:rFonts w:cstheme="minorHAnsi"/>
                <w:b/>
                <w:bCs/>
                <w:color w:val="FF0000"/>
                <w:sz w:val="24"/>
                <w:szCs w:val="24"/>
              </w:rPr>
            </w:pPr>
          </w:p>
        </w:tc>
      </w:tr>
      <w:tr w:rsidR="00D156D6" w:rsidRPr="00525577" w14:paraId="583495F3" w14:textId="77777777" w:rsidTr="00566FE0">
        <w:tc>
          <w:tcPr>
            <w:tcW w:w="14263" w:type="dxa"/>
            <w:gridSpan w:val="6"/>
          </w:tcPr>
          <w:p w14:paraId="26103E59" w14:textId="29434F6B" w:rsidR="00D156D6" w:rsidRPr="00525577" w:rsidRDefault="00566FE0" w:rsidP="00225DB4">
            <w:pPr>
              <w:rPr>
                <w:rFonts w:cstheme="minorHAnsi"/>
                <w:b/>
                <w:bCs/>
                <w:color w:val="FF0000"/>
                <w:sz w:val="24"/>
                <w:szCs w:val="24"/>
              </w:rPr>
            </w:pPr>
            <w:r w:rsidRPr="00525577">
              <w:rPr>
                <w:rFonts w:eastAsia="Calibri"/>
                <w:b/>
                <w:sz w:val="24"/>
                <w:szCs w:val="24"/>
              </w:rPr>
              <w:t xml:space="preserve">Administrative Safeguards - </w:t>
            </w:r>
            <w:r w:rsidR="00D156D6" w:rsidRPr="00525577">
              <w:rPr>
                <w:rFonts w:eastAsia="Calibri"/>
                <w:b/>
                <w:sz w:val="24"/>
                <w:szCs w:val="24"/>
              </w:rPr>
              <w:t>Security Awareness and Training</w:t>
            </w:r>
            <w:r w:rsidRPr="00525577">
              <w:rPr>
                <w:rFonts w:eastAsia="Calibri"/>
                <w:b/>
                <w:sz w:val="24"/>
                <w:szCs w:val="24"/>
              </w:rPr>
              <w:t>:</w:t>
            </w:r>
            <w:r w:rsidR="00D60439" w:rsidRPr="00525577">
              <w:rPr>
                <w:rFonts w:eastAsia="Calibri"/>
                <w:b/>
                <w:sz w:val="24"/>
                <w:szCs w:val="24"/>
              </w:rPr>
              <w:t xml:space="preserve"> </w:t>
            </w:r>
          </w:p>
        </w:tc>
      </w:tr>
      <w:tr w:rsidR="00D156D6" w:rsidRPr="00525577" w14:paraId="770E5AB2" w14:textId="77777777" w:rsidTr="00B72B6A">
        <w:tc>
          <w:tcPr>
            <w:tcW w:w="926" w:type="dxa"/>
          </w:tcPr>
          <w:p w14:paraId="14825C7E" w14:textId="3DBB2515" w:rsidR="00D156D6" w:rsidRPr="00525577" w:rsidRDefault="00D156D6" w:rsidP="00225DB4">
            <w:pPr>
              <w:rPr>
                <w:sz w:val="24"/>
                <w:szCs w:val="24"/>
              </w:rPr>
            </w:pPr>
            <w:r w:rsidRPr="00525577">
              <w:rPr>
                <w:sz w:val="24"/>
                <w:szCs w:val="24"/>
              </w:rPr>
              <w:t>12.14</w:t>
            </w:r>
          </w:p>
        </w:tc>
        <w:tc>
          <w:tcPr>
            <w:tcW w:w="3547" w:type="dxa"/>
            <w:tcBorders>
              <w:top w:val="single" w:sz="4" w:space="0" w:color="auto"/>
              <w:left w:val="single" w:sz="4" w:space="0" w:color="auto"/>
              <w:bottom w:val="single" w:sz="4" w:space="0" w:color="auto"/>
              <w:right w:val="single" w:sz="4" w:space="0" w:color="auto"/>
            </w:tcBorders>
          </w:tcPr>
          <w:p w14:paraId="6822F748" w14:textId="4F8A7975" w:rsidR="00D156D6" w:rsidRPr="00525577" w:rsidRDefault="00D156D6" w:rsidP="00225DB4">
            <w:pPr>
              <w:rPr>
                <w:rFonts w:eastAsia="Calibri" w:cstheme="minorHAnsi"/>
                <w:sz w:val="24"/>
                <w:szCs w:val="24"/>
              </w:rPr>
            </w:pPr>
            <w:r w:rsidRPr="00525577">
              <w:rPr>
                <w:rFonts w:ascii="Calibri" w:hAnsi="Calibri" w:cs="Calibri"/>
                <w:color w:val="000000"/>
                <w:sz w:val="24"/>
                <w:szCs w:val="24"/>
              </w:rPr>
              <w:t xml:space="preserve">Workforce members are trained </w:t>
            </w:r>
            <w:proofErr w:type="gramStart"/>
            <w:r w:rsidRPr="00525577">
              <w:rPr>
                <w:rFonts w:ascii="Calibri" w:hAnsi="Calibri" w:cs="Calibri"/>
                <w:color w:val="000000"/>
                <w:sz w:val="24"/>
                <w:szCs w:val="24"/>
              </w:rPr>
              <w:t>on</w:t>
            </w:r>
            <w:proofErr w:type="gramEnd"/>
            <w:r w:rsidRPr="00525577">
              <w:rPr>
                <w:rFonts w:ascii="Calibri" w:hAnsi="Calibri" w:cs="Calibri"/>
                <w:color w:val="000000"/>
                <w:sz w:val="24"/>
                <w:szCs w:val="24"/>
              </w:rPr>
              <w:t xml:space="preserve"> the appropriate use of software systems, security, and their responsibility to protect PHI including appropriate use of Internet, email, and password management.</w:t>
            </w:r>
          </w:p>
        </w:tc>
        <w:tc>
          <w:tcPr>
            <w:tcW w:w="2615" w:type="dxa"/>
            <w:tcBorders>
              <w:top w:val="single" w:sz="4" w:space="0" w:color="auto"/>
              <w:left w:val="nil"/>
              <w:bottom w:val="single" w:sz="4" w:space="0" w:color="auto"/>
              <w:right w:val="single" w:sz="4" w:space="0" w:color="auto"/>
            </w:tcBorders>
          </w:tcPr>
          <w:p w14:paraId="20757720" w14:textId="0E626DC0" w:rsidR="00D156D6" w:rsidRPr="00525577" w:rsidRDefault="00D156D6" w:rsidP="00225DB4">
            <w:pPr>
              <w:rPr>
                <w:rFonts w:cstheme="minorHAnsi"/>
                <w:sz w:val="24"/>
                <w:szCs w:val="24"/>
              </w:rPr>
            </w:pPr>
            <w:r w:rsidRPr="00525577">
              <w:rPr>
                <w:rFonts w:ascii="Calibri" w:hAnsi="Calibri" w:cs="Calibri"/>
                <w:color w:val="000000"/>
                <w:sz w:val="24"/>
                <w:szCs w:val="24"/>
              </w:rPr>
              <w:t xml:space="preserve">HIPAA Security and Privacy, 45 CFR Parts 160 &amp; 164 Subparts A, B, C, D, E; LRE/CMHSP Participant contract delegation grid; </w:t>
            </w:r>
            <w:proofErr w:type="gramStart"/>
            <w:r w:rsidRPr="00525577">
              <w:rPr>
                <w:rFonts w:ascii="Calibri" w:hAnsi="Calibri" w:cs="Calibri"/>
                <w:color w:val="000000"/>
                <w:sz w:val="24"/>
                <w:szCs w:val="24"/>
              </w:rPr>
              <w:t>Commonly-accepted</w:t>
            </w:r>
            <w:proofErr w:type="gramEnd"/>
            <w:r w:rsidRPr="00525577">
              <w:rPr>
                <w:rFonts w:ascii="Calibri" w:hAnsi="Calibri" w:cs="Calibri"/>
                <w:color w:val="000000"/>
                <w:sz w:val="24"/>
                <w:szCs w:val="24"/>
              </w:rPr>
              <w:t xml:space="preserve"> IT practices </w:t>
            </w:r>
          </w:p>
        </w:tc>
        <w:tc>
          <w:tcPr>
            <w:tcW w:w="1846" w:type="dxa"/>
          </w:tcPr>
          <w:p w14:paraId="5567C4AA" w14:textId="77777777" w:rsidR="00D156D6" w:rsidRPr="00525577" w:rsidRDefault="00D156D6" w:rsidP="00225DB4">
            <w:pPr>
              <w:rPr>
                <w:rFonts w:cstheme="minorHAnsi"/>
                <w:sz w:val="24"/>
                <w:szCs w:val="24"/>
              </w:rPr>
            </w:pPr>
          </w:p>
        </w:tc>
        <w:tc>
          <w:tcPr>
            <w:tcW w:w="1772" w:type="dxa"/>
          </w:tcPr>
          <w:p w14:paraId="08F096E3" w14:textId="77777777" w:rsidR="00D156D6" w:rsidRPr="00525577" w:rsidRDefault="00D156D6" w:rsidP="00225DB4">
            <w:pPr>
              <w:rPr>
                <w:rFonts w:cstheme="minorHAnsi"/>
                <w:sz w:val="24"/>
                <w:szCs w:val="24"/>
              </w:rPr>
            </w:pPr>
          </w:p>
        </w:tc>
        <w:tc>
          <w:tcPr>
            <w:tcW w:w="3557" w:type="dxa"/>
          </w:tcPr>
          <w:p w14:paraId="10D92FE0" w14:textId="378AB434" w:rsidR="00D156D6" w:rsidRPr="00525577" w:rsidRDefault="00D156D6" w:rsidP="00225DB4">
            <w:pPr>
              <w:jc w:val="center"/>
              <w:rPr>
                <w:rFonts w:cstheme="minorHAnsi"/>
                <w:b/>
                <w:bCs/>
                <w:color w:val="FF0000"/>
                <w:sz w:val="24"/>
                <w:szCs w:val="24"/>
              </w:rPr>
            </w:pPr>
          </w:p>
        </w:tc>
      </w:tr>
      <w:tr w:rsidR="00331DF4" w:rsidRPr="00525577" w14:paraId="7C994A5F" w14:textId="77777777" w:rsidTr="00B72B6A">
        <w:tc>
          <w:tcPr>
            <w:tcW w:w="926" w:type="dxa"/>
          </w:tcPr>
          <w:p w14:paraId="6EC71572" w14:textId="711915F8" w:rsidR="00331DF4" w:rsidRPr="00525577" w:rsidRDefault="00331DF4" w:rsidP="00331DF4">
            <w:pPr>
              <w:rPr>
                <w:sz w:val="24"/>
                <w:szCs w:val="24"/>
              </w:rPr>
            </w:pPr>
            <w:r w:rsidRPr="00525577">
              <w:rPr>
                <w:sz w:val="24"/>
                <w:szCs w:val="24"/>
              </w:rPr>
              <w:lastRenderedPageBreak/>
              <w:t>12.15</w:t>
            </w:r>
          </w:p>
        </w:tc>
        <w:tc>
          <w:tcPr>
            <w:tcW w:w="3547" w:type="dxa"/>
            <w:tcBorders>
              <w:top w:val="single" w:sz="4" w:space="0" w:color="auto"/>
              <w:left w:val="single" w:sz="4" w:space="0" w:color="auto"/>
              <w:bottom w:val="single" w:sz="4" w:space="0" w:color="auto"/>
              <w:right w:val="single" w:sz="4" w:space="0" w:color="000000"/>
            </w:tcBorders>
          </w:tcPr>
          <w:p w14:paraId="668EBBEF" w14:textId="6A6CC646" w:rsidR="00331DF4" w:rsidRPr="00525577" w:rsidRDefault="00331DF4" w:rsidP="00331DF4">
            <w:pPr>
              <w:rPr>
                <w:rFonts w:eastAsia="Calibri" w:cstheme="minorHAnsi"/>
                <w:sz w:val="24"/>
                <w:szCs w:val="24"/>
              </w:rPr>
            </w:pPr>
            <w:r w:rsidRPr="00525577">
              <w:rPr>
                <w:rFonts w:ascii="Calibri" w:hAnsi="Calibri" w:cs="Calibri"/>
                <w:color w:val="000000"/>
                <w:sz w:val="24"/>
                <w:szCs w:val="24"/>
              </w:rPr>
              <w:t xml:space="preserve">Periodic security updates and </w:t>
            </w:r>
            <w:proofErr w:type="gramStart"/>
            <w:r w:rsidRPr="00525577">
              <w:rPr>
                <w:rFonts w:ascii="Calibri" w:hAnsi="Calibri" w:cs="Calibri"/>
                <w:color w:val="000000"/>
                <w:sz w:val="24"/>
                <w:szCs w:val="24"/>
              </w:rPr>
              <w:t>trainings</w:t>
            </w:r>
            <w:proofErr w:type="gramEnd"/>
            <w:r w:rsidRPr="00525577">
              <w:rPr>
                <w:rFonts w:ascii="Calibri" w:hAnsi="Calibri" w:cs="Calibri"/>
                <w:color w:val="000000"/>
                <w:sz w:val="24"/>
                <w:szCs w:val="24"/>
              </w:rPr>
              <w:t xml:space="preserve"> are conducted for workforce members.</w:t>
            </w:r>
          </w:p>
        </w:tc>
        <w:tc>
          <w:tcPr>
            <w:tcW w:w="2615" w:type="dxa"/>
            <w:tcBorders>
              <w:top w:val="single" w:sz="4" w:space="0" w:color="auto"/>
              <w:left w:val="nil"/>
              <w:bottom w:val="single" w:sz="4" w:space="0" w:color="auto"/>
              <w:right w:val="single" w:sz="4" w:space="0" w:color="auto"/>
            </w:tcBorders>
          </w:tcPr>
          <w:p w14:paraId="0CCCB40B" w14:textId="385D80AD" w:rsidR="00331DF4" w:rsidRPr="00525577" w:rsidRDefault="00331DF4" w:rsidP="00331DF4">
            <w:pPr>
              <w:rPr>
                <w:rFonts w:cstheme="minorHAnsi"/>
                <w:sz w:val="24"/>
                <w:szCs w:val="24"/>
              </w:rPr>
            </w:pPr>
            <w:r w:rsidRPr="00525577">
              <w:rPr>
                <w:rFonts w:ascii="Calibri" w:hAnsi="Calibri" w:cs="Calibri"/>
                <w:color w:val="000000"/>
                <w:sz w:val="24"/>
                <w:szCs w:val="24"/>
              </w:rPr>
              <w:t>See 12.14 above</w:t>
            </w:r>
          </w:p>
        </w:tc>
        <w:tc>
          <w:tcPr>
            <w:tcW w:w="1846" w:type="dxa"/>
          </w:tcPr>
          <w:p w14:paraId="2423B2E9" w14:textId="77777777" w:rsidR="00331DF4" w:rsidRPr="00525577" w:rsidRDefault="00331DF4" w:rsidP="00331DF4">
            <w:pPr>
              <w:rPr>
                <w:rFonts w:cstheme="minorHAnsi"/>
                <w:sz w:val="24"/>
                <w:szCs w:val="24"/>
              </w:rPr>
            </w:pPr>
          </w:p>
        </w:tc>
        <w:tc>
          <w:tcPr>
            <w:tcW w:w="1772" w:type="dxa"/>
          </w:tcPr>
          <w:p w14:paraId="08934EDE" w14:textId="77777777" w:rsidR="00331DF4" w:rsidRPr="00525577" w:rsidRDefault="00331DF4" w:rsidP="00331DF4">
            <w:pPr>
              <w:rPr>
                <w:rFonts w:cstheme="minorHAnsi"/>
                <w:sz w:val="24"/>
                <w:szCs w:val="24"/>
              </w:rPr>
            </w:pPr>
          </w:p>
        </w:tc>
        <w:tc>
          <w:tcPr>
            <w:tcW w:w="3557" w:type="dxa"/>
          </w:tcPr>
          <w:p w14:paraId="1645534C" w14:textId="64D41732" w:rsidR="00331DF4" w:rsidRPr="00525577" w:rsidRDefault="00331DF4" w:rsidP="00331DF4">
            <w:pPr>
              <w:jc w:val="center"/>
              <w:rPr>
                <w:rFonts w:cstheme="minorHAnsi"/>
                <w:b/>
                <w:bCs/>
                <w:color w:val="FF0000"/>
                <w:sz w:val="24"/>
                <w:szCs w:val="24"/>
              </w:rPr>
            </w:pPr>
          </w:p>
        </w:tc>
      </w:tr>
      <w:tr w:rsidR="00331DF4" w:rsidRPr="00525577" w14:paraId="20F8836E" w14:textId="77777777" w:rsidTr="00B72B6A">
        <w:tc>
          <w:tcPr>
            <w:tcW w:w="926" w:type="dxa"/>
          </w:tcPr>
          <w:p w14:paraId="69BDDE63" w14:textId="049D90E0" w:rsidR="00331DF4" w:rsidRPr="00525577" w:rsidRDefault="00331DF4" w:rsidP="00331DF4">
            <w:pPr>
              <w:rPr>
                <w:sz w:val="24"/>
                <w:szCs w:val="24"/>
              </w:rPr>
            </w:pPr>
            <w:r w:rsidRPr="00525577">
              <w:rPr>
                <w:sz w:val="24"/>
                <w:szCs w:val="24"/>
              </w:rPr>
              <w:t>12.16</w:t>
            </w:r>
          </w:p>
        </w:tc>
        <w:tc>
          <w:tcPr>
            <w:tcW w:w="3547" w:type="dxa"/>
            <w:tcBorders>
              <w:top w:val="single" w:sz="4" w:space="0" w:color="auto"/>
              <w:left w:val="single" w:sz="4" w:space="0" w:color="auto"/>
              <w:bottom w:val="single" w:sz="4" w:space="0" w:color="auto"/>
              <w:right w:val="single" w:sz="4" w:space="0" w:color="000000"/>
            </w:tcBorders>
          </w:tcPr>
          <w:p w14:paraId="34095E0C" w14:textId="2BCB9680" w:rsidR="00331DF4" w:rsidRPr="00525577" w:rsidRDefault="00331DF4" w:rsidP="00331DF4">
            <w:pPr>
              <w:rPr>
                <w:rFonts w:eastAsia="Calibri" w:cstheme="minorHAnsi"/>
                <w:sz w:val="24"/>
                <w:szCs w:val="24"/>
              </w:rPr>
            </w:pPr>
            <w:r w:rsidRPr="00525577">
              <w:rPr>
                <w:rFonts w:ascii="Calibri" w:hAnsi="Calibri" w:cs="Calibri"/>
                <w:color w:val="000000"/>
                <w:sz w:val="24"/>
                <w:szCs w:val="24"/>
              </w:rPr>
              <w:t>A system is in place for workforce members to report technical issues and concerns, such as a help desk system.</w:t>
            </w:r>
          </w:p>
        </w:tc>
        <w:tc>
          <w:tcPr>
            <w:tcW w:w="2615" w:type="dxa"/>
            <w:tcBorders>
              <w:top w:val="single" w:sz="4" w:space="0" w:color="auto"/>
              <w:left w:val="nil"/>
              <w:bottom w:val="single" w:sz="4" w:space="0" w:color="auto"/>
              <w:right w:val="single" w:sz="4" w:space="0" w:color="auto"/>
            </w:tcBorders>
          </w:tcPr>
          <w:p w14:paraId="6669C348" w14:textId="01400E7C" w:rsidR="00331DF4" w:rsidRPr="00525577" w:rsidRDefault="00331DF4" w:rsidP="00331DF4">
            <w:pPr>
              <w:rPr>
                <w:rFonts w:cstheme="minorHAnsi"/>
                <w:sz w:val="24"/>
                <w:szCs w:val="24"/>
              </w:rPr>
            </w:pPr>
            <w:r w:rsidRPr="00525577">
              <w:rPr>
                <w:rFonts w:ascii="Calibri" w:hAnsi="Calibri" w:cs="Calibri"/>
                <w:color w:val="000000"/>
                <w:sz w:val="24"/>
                <w:szCs w:val="24"/>
              </w:rPr>
              <w:t>See 12.14 above</w:t>
            </w:r>
          </w:p>
        </w:tc>
        <w:tc>
          <w:tcPr>
            <w:tcW w:w="1846" w:type="dxa"/>
          </w:tcPr>
          <w:p w14:paraId="02758198" w14:textId="77777777" w:rsidR="00331DF4" w:rsidRPr="00525577" w:rsidRDefault="00331DF4" w:rsidP="00331DF4">
            <w:pPr>
              <w:rPr>
                <w:rFonts w:cstheme="minorHAnsi"/>
                <w:sz w:val="24"/>
                <w:szCs w:val="24"/>
              </w:rPr>
            </w:pPr>
          </w:p>
        </w:tc>
        <w:tc>
          <w:tcPr>
            <w:tcW w:w="1772" w:type="dxa"/>
          </w:tcPr>
          <w:p w14:paraId="70F94EED" w14:textId="77777777" w:rsidR="00331DF4" w:rsidRPr="00525577" w:rsidRDefault="00331DF4" w:rsidP="00331DF4">
            <w:pPr>
              <w:rPr>
                <w:rFonts w:cstheme="minorHAnsi"/>
                <w:sz w:val="24"/>
                <w:szCs w:val="24"/>
              </w:rPr>
            </w:pPr>
          </w:p>
        </w:tc>
        <w:tc>
          <w:tcPr>
            <w:tcW w:w="3557" w:type="dxa"/>
          </w:tcPr>
          <w:p w14:paraId="2755C879" w14:textId="6EC709E9" w:rsidR="00331DF4" w:rsidRPr="00525577" w:rsidRDefault="00331DF4" w:rsidP="00331DF4">
            <w:pPr>
              <w:jc w:val="center"/>
              <w:rPr>
                <w:rFonts w:cstheme="minorHAnsi"/>
                <w:b/>
                <w:bCs/>
                <w:color w:val="FF0000"/>
                <w:sz w:val="24"/>
                <w:szCs w:val="24"/>
              </w:rPr>
            </w:pPr>
          </w:p>
        </w:tc>
      </w:tr>
      <w:tr w:rsidR="00331DF4" w:rsidRPr="00525577" w14:paraId="370E99BB" w14:textId="77777777" w:rsidTr="00B72B6A">
        <w:tc>
          <w:tcPr>
            <w:tcW w:w="926" w:type="dxa"/>
          </w:tcPr>
          <w:p w14:paraId="78D6D2A6" w14:textId="504477A2" w:rsidR="00331DF4" w:rsidRPr="00525577" w:rsidRDefault="00331DF4" w:rsidP="00331DF4">
            <w:pPr>
              <w:rPr>
                <w:sz w:val="24"/>
                <w:szCs w:val="24"/>
              </w:rPr>
            </w:pPr>
            <w:r w:rsidRPr="00525577">
              <w:rPr>
                <w:sz w:val="24"/>
                <w:szCs w:val="24"/>
              </w:rPr>
              <w:t>12.17</w:t>
            </w:r>
          </w:p>
        </w:tc>
        <w:tc>
          <w:tcPr>
            <w:tcW w:w="3547" w:type="dxa"/>
            <w:tcBorders>
              <w:top w:val="single" w:sz="4" w:space="0" w:color="auto"/>
              <w:left w:val="single" w:sz="4" w:space="0" w:color="auto"/>
              <w:bottom w:val="single" w:sz="4" w:space="0" w:color="auto"/>
              <w:right w:val="single" w:sz="4" w:space="0" w:color="000000"/>
            </w:tcBorders>
          </w:tcPr>
          <w:p w14:paraId="645C1347" w14:textId="6DAE5851" w:rsidR="00331DF4" w:rsidRPr="00525577" w:rsidRDefault="00331DF4" w:rsidP="00331DF4">
            <w:pPr>
              <w:rPr>
                <w:rFonts w:eastAsia="Calibri" w:cstheme="minorHAnsi"/>
                <w:sz w:val="24"/>
                <w:szCs w:val="24"/>
              </w:rPr>
            </w:pPr>
            <w:r w:rsidRPr="00525577">
              <w:rPr>
                <w:rFonts w:ascii="Calibri" w:hAnsi="Calibri" w:cs="Calibri"/>
                <w:color w:val="000000"/>
                <w:sz w:val="24"/>
                <w:szCs w:val="24"/>
              </w:rPr>
              <w:t>The agency assures on-going learning for technical professionals to maintain currency in IT knowledge, skills, abilities, and certification.</w:t>
            </w:r>
          </w:p>
        </w:tc>
        <w:tc>
          <w:tcPr>
            <w:tcW w:w="2615" w:type="dxa"/>
            <w:tcBorders>
              <w:top w:val="single" w:sz="4" w:space="0" w:color="auto"/>
              <w:left w:val="nil"/>
              <w:bottom w:val="single" w:sz="4" w:space="0" w:color="auto"/>
              <w:right w:val="single" w:sz="4" w:space="0" w:color="auto"/>
            </w:tcBorders>
          </w:tcPr>
          <w:p w14:paraId="3B5C7711" w14:textId="53C8F597" w:rsidR="00331DF4" w:rsidRPr="00525577" w:rsidRDefault="00331DF4" w:rsidP="00331DF4">
            <w:pPr>
              <w:rPr>
                <w:rFonts w:cstheme="minorHAnsi"/>
                <w:sz w:val="24"/>
                <w:szCs w:val="24"/>
              </w:rPr>
            </w:pPr>
            <w:r w:rsidRPr="00525577">
              <w:rPr>
                <w:rFonts w:ascii="Calibri" w:hAnsi="Calibri" w:cs="Calibri"/>
                <w:color w:val="000000"/>
                <w:sz w:val="24"/>
                <w:szCs w:val="24"/>
              </w:rPr>
              <w:t>See 12.14 above</w:t>
            </w:r>
          </w:p>
        </w:tc>
        <w:tc>
          <w:tcPr>
            <w:tcW w:w="1846" w:type="dxa"/>
          </w:tcPr>
          <w:p w14:paraId="65508CB5" w14:textId="77777777" w:rsidR="00331DF4" w:rsidRPr="00525577" w:rsidRDefault="00331DF4" w:rsidP="00331DF4">
            <w:pPr>
              <w:rPr>
                <w:rFonts w:cstheme="minorHAnsi"/>
                <w:sz w:val="24"/>
                <w:szCs w:val="24"/>
              </w:rPr>
            </w:pPr>
          </w:p>
        </w:tc>
        <w:tc>
          <w:tcPr>
            <w:tcW w:w="1772" w:type="dxa"/>
          </w:tcPr>
          <w:p w14:paraId="5E32EB2C" w14:textId="77777777" w:rsidR="00331DF4" w:rsidRPr="00525577" w:rsidRDefault="00331DF4" w:rsidP="00331DF4">
            <w:pPr>
              <w:rPr>
                <w:rFonts w:cstheme="minorHAnsi"/>
                <w:sz w:val="24"/>
                <w:szCs w:val="24"/>
              </w:rPr>
            </w:pPr>
          </w:p>
        </w:tc>
        <w:tc>
          <w:tcPr>
            <w:tcW w:w="3557" w:type="dxa"/>
          </w:tcPr>
          <w:p w14:paraId="6274D4A5" w14:textId="0E585BD1" w:rsidR="00331DF4" w:rsidRPr="00525577" w:rsidRDefault="00331DF4" w:rsidP="00331DF4">
            <w:pPr>
              <w:jc w:val="center"/>
              <w:rPr>
                <w:rFonts w:cstheme="minorHAnsi"/>
                <w:b/>
                <w:bCs/>
                <w:color w:val="FF0000"/>
                <w:sz w:val="24"/>
                <w:szCs w:val="24"/>
              </w:rPr>
            </w:pPr>
          </w:p>
        </w:tc>
      </w:tr>
      <w:tr w:rsidR="00D156D6" w:rsidRPr="00525577" w14:paraId="5F895B68" w14:textId="2726ED81" w:rsidTr="00566FE0">
        <w:tc>
          <w:tcPr>
            <w:tcW w:w="14263" w:type="dxa"/>
            <w:gridSpan w:val="6"/>
          </w:tcPr>
          <w:p w14:paraId="1B72466E" w14:textId="3B3C2B5D" w:rsidR="00D156D6" w:rsidRPr="00525577" w:rsidRDefault="00566FE0" w:rsidP="00225DB4">
            <w:pPr>
              <w:rPr>
                <w:b/>
                <w:sz w:val="24"/>
                <w:szCs w:val="24"/>
              </w:rPr>
            </w:pPr>
            <w:r w:rsidRPr="00525577">
              <w:rPr>
                <w:rFonts w:eastAsia="Calibri"/>
                <w:b/>
                <w:sz w:val="24"/>
                <w:szCs w:val="24"/>
              </w:rPr>
              <w:t xml:space="preserve">Administrative Safeguards - </w:t>
            </w:r>
            <w:r w:rsidR="00D156D6" w:rsidRPr="00525577">
              <w:rPr>
                <w:rFonts w:eastAsia="Calibri"/>
                <w:b/>
                <w:sz w:val="24"/>
                <w:szCs w:val="24"/>
              </w:rPr>
              <w:t>Contingency Planning</w:t>
            </w:r>
            <w:r w:rsidRPr="00525577">
              <w:rPr>
                <w:rFonts w:eastAsia="Calibri"/>
                <w:b/>
                <w:sz w:val="24"/>
                <w:szCs w:val="24"/>
              </w:rPr>
              <w:t>:</w:t>
            </w:r>
            <w:r w:rsidR="00D60439" w:rsidRPr="00525577">
              <w:rPr>
                <w:rFonts w:eastAsia="Calibri"/>
                <w:b/>
                <w:sz w:val="24"/>
                <w:szCs w:val="24"/>
              </w:rPr>
              <w:t xml:space="preserve"> </w:t>
            </w:r>
          </w:p>
        </w:tc>
      </w:tr>
      <w:tr w:rsidR="0015200D" w:rsidRPr="00525577" w14:paraId="27C5DEAF" w14:textId="0A04B844" w:rsidTr="00B72B6A">
        <w:tc>
          <w:tcPr>
            <w:tcW w:w="926" w:type="dxa"/>
          </w:tcPr>
          <w:p w14:paraId="2D50C18C" w14:textId="6022545C" w:rsidR="0015200D" w:rsidRPr="00525577" w:rsidRDefault="0015200D" w:rsidP="00225DB4">
            <w:pPr>
              <w:rPr>
                <w:sz w:val="24"/>
                <w:szCs w:val="24"/>
              </w:rPr>
            </w:pPr>
            <w:r w:rsidRPr="00525577">
              <w:rPr>
                <w:sz w:val="24"/>
                <w:szCs w:val="24"/>
              </w:rPr>
              <w:t>12.18</w:t>
            </w:r>
          </w:p>
        </w:tc>
        <w:tc>
          <w:tcPr>
            <w:tcW w:w="3547" w:type="dxa"/>
          </w:tcPr>
          <w:p w14:paraId="0E1DDDC5" w14:textId="54022AC2" w:rsidR="0015200D" w:rsidRPr="00525577" w:rsidRDefault="0015200D" w:rsidP="00225DB4">
            <w:pPr>
              <w:rPr>
                <w:rFonts w:cstheme="minorHAnsi"/>
                <w:sz w:val="24"/>
                <w:szCs w:val="24"/>
              </w:rPr>
            </w:pPr>
            <w:r w:rsidRPr="00525577">
              <w:rPr>
                <w:rFonts w:eastAsia="Calibri" w:cstheme="minorHAnsi"/>
                <w:sz w:val="24"/>
                <w:szCs w:val="24"/>
              </w:rPr>
              <w:t>Data is backed up regularly, and restore process is tested periodically to ensure validity and usability of the backup media and restore procedures.</w:t>
            </w:r>
          </w:p>
        </w:tc>
        <w:tc>
          <w:tcPr>
            <w:tcW w:w="2615" w:type="dxa"/>
            <w:vMerge w:val="restart"/>
          </w:tcPr>
          <w:p w14:paraId="20EA9B4F" w14:textId="77777777" w:rsidR="0015200D" w:rsidRPr="00525577" w:rsidRDefault="0015200D" w:rsidP="00225DB4">
            <w:pPr>
              <w:rPr>
                <w:rFonts w:eastAsia="Calibri" w:cstheme="minorHAnsi"/>
                <w:sz w:val="24"/>
                <w:szCs w:val="24"/>
              </w:rPr>
            </w:pPr>
            <w:r w:rsidRPr="00525577">
              <w:rPr>
                <w:rFonts w:eastAsia="Calibri" w:cstheme="minorHAnsi"/>
                <w:sz w:val="24"/>
                <w:szCs w:val="24"/>
              </w:rPr>
              <w:t xml:space="preserve">HIPAA Security and Privacy, </w:t>
            </w:r>
          </w:p>
          <w:p w14:paraId="448C4D92" w14:textId="77777777" w:rsidR="0015200D" w:rsidRPr="00525577" w:rsidRDefault="0015200D" w:rsidP="00225DB4">
            <w:pPr>
              <w:rPr>
                <w:rFonts w:eastAsia="Calibri" w:cstheme="minorHAnsi"/>
                <w:sz w:val="24"/>
                <w:szCs w:val="24"/>
              </w:rPr>
            </w:pPr>
            <w:r w:rsidRPr="00525577">
              <w:rPr>
                <w:rFonts w:eastAsia="Calibri" w:cstheme="minorHAnsi"/>
                <w:sz w:val="24"/>
                <w:szCs w:val="24"/>
              </w:rPr>
              <w:t xml:space="preserve">45 CFR Parts 160 &amp; 164 Subparts A, B, </w:t>
            </w:r>
            <w:proofErr w:type="gramStart"/>
            <w:r w:rsidRPr="00525577">
              <w:rPr>
                <w:rFonts w:eastAsia="Calibri" w:cstheme="minorHAnsi"/>
                <w:sz w:val="24"/>
                <w:szCs w:val="24"/>
              </w:rPr>
              <w:t>C ,</w:t>
            </w:r>
            <w:proofErr w:type="gramEnd"/>
            <w:r w:rsidRPr="00525577">
              <w:rPr>
                <w:rFonts w:eastAsia="Calibri" w:cstheme="minorHAnsi"/>
                <w:sz w:val="24"/>
                <w:szCs w:val="24"/>
              </w:rPr>
              <w:t xml:space="preserve"> D, </w:t>
            </w:r>
            <w:proofErr w:type="gramStart"/>
            <w:r w:rsidRPr="00525577">
              <w:rPr>
                <w:rFonts w:eastAsia="Calibri" w:cstheme="minorHAnsi"/>
                <w:sz w:val="24"/>
                <w:szCs w:val="24"/>
              </w:rPr>
              <w:t>E;</w:t>
            </w:r>
            <w:proofErr w:type="gramEnd"/>
            <w:r w:rsidRPr="00525577">
              <w:rPr>
                <w:rFonts w:eastAsia="Calibri" w:cstheme="minorHAnsi"/>
                <w:sz w:val="24"/>
                <w:szCs w:val="24"/>
              </w:rPr>
              <w:t xml:space="preserve"> </w:t>
            </w:r>
          </w:p>
          <w:p w14:paraId="78529171" w14:textId="77777777" w:rsidR="0015200D" w:rsidRPr="00525577" w:rsidRDefault="0015200D" w:rsidP="00225DB4">
            <w:pPr>
              <w:rPr>
                <w:rFonts w:cstheme="minorHAnsi"/>
                <w:sz w:val="24"/>
                <w:szCs w:val="24"/>
              </w:rPr>
            </w:pPr>
          </w:p>
          <w:p w14:paraId="2AD1941A" w14:textId="15A77D32" w:rsidR="0015200D" w:rsidRPr="00525577" w:rsidRDefault="0015200D" w:rsidP="00225DB4">
            <w:pPr>
              <w:rPr>
                <w:rFonts w:cstheme="minorHAnsi"/>
                <w:sz w:val="24"/>
                <w:szCs w:val="24"/>
              </w:rPr>
            </w:pPr>
            <w:r w:rsidRPr="00525577">
              <w:rPr>
                <w:rFonts w:eastAsia="Calibri" w:cstheme="minorHAnsi"/>
                <w:sz w:val="24"/>
                <w:szCs w:val="24"/>
              </w:rPr>
              <w:t xml:space="preserve">LRE/CMHSP Participant contract delegation </w:t>
            </w:r>
            <w:r w:rsidRPr="00525577">
              <w:rPr>
                <w:rFonts w:eastAsia="Calibri" w:cstheme="minorHAnsi"/>
                <w:sz w:val="24"/>
                <w:szCs w:val="24"/>
              </w:rPr>
              <w:lastRenderedPageBreak/>
              <w:t>grid; Commonly accepted IT practices</w:t>
            </w:r>
          </w:p>
        </w:tc>
        <w:tc>
          <w:tcPr>
            <w:tcW w:w="1846" w:type="dxa"/>
          </w:tcPr>
          <w:p w14:paraId="452B7280" w14:textId="02710574" w:rsidR="0015200D" w:rsidRPr="00525577" w:rsidRDefault="0015200D" w:rsidP="00225DB4">
            <w:pPr>
              <w:rPr>
                <w:rFonts w:cstheme="minorHAnsi"/>
                <w:sz w:val="24"/>
                <w:szCs w:val="24"/>
              </w:rPr>
            </w:pPr>
          </w:p>
        </w:tc>
        <w:tc>
          <w:tcPr>
            <w:tcW w:w="1772" w:type="dxa"/>
          </w:tcPr>
          <w:p w14:paraId="2ED47629" w14:textId="77777777" w:rsidR="0015200D" w:rsidRPr="00525577" w:rsidRDefault="0015200D" w:rsidP="00225DB4">
            <w:pPr>
              <w:rPr>
                <w:rFonts w:cstheme="minorHAnsi"/>
                <w:sz w:val="24"/>
                <w:szCs w:val="24"/>
              </w:rPr>
            </w:pPr>
          </w:p>
        </w:tc>
        <w:tc>
          <w:tcPr>
            <w:tcW w:w="3557" w:type="dxa"/>
          </w:tcPr>
          <w:p w14:paraId="721DB50F" w14:textId="6BE43BE4" w:rsidR="0015200D" w:rsidRPr="00525577" w:rsidRDefault="0015200D" w:rsidP="00225DB4">
            <w:pPr>
              <w:jc w:val="center"/>
              <w:rPr>
                <w:rFonts w:cstheme="minorHAnsi"/>
                <w:b/>
                <w:bCs/>
                <w:color w:val="FF0000"/>
                <w:sz w:val="24"/>
                <w:szCs w:val="24"/>
              </w:rPr>
            </w:pPr>
          </w:p>
        </w:tc>
      </w:tr>
      <w:tr w:rsidR="0015200D" w:rsidRPr="00525577" w14:paraId="42A5D97A" w14:textId="78B7EEAA" w:rsidTr="00B72B6A">
        <w:tc>
          <w:tcPr>
            <w:tcW w:w="926" w:type="dxa"/>
            <w:shd w:val="clear" w:color="auto" w:fill="FFFFFF" w:themeFill="background1"/>
          </w:tcPr>
          <w:p w14:paraId="52922AE6" w14:textId="200B34FA" w:rsidR="0015200D" w:rsidRPr="00525577" w:rsidRDefault="0015200D" w:rsidP="00225DB4">
            <w:pPr>
              <w:rPr>
                <w:sz w:val="24"/>
                <w:szCs w:val="24"/>
              </w:rPr>
            </w:pPr>
            <w:r w:rsidRPr="00525577">
              <w:rPr>
                <w:sz w:val="24"/>
                <w:szCs w:val="24"/>
              </w:rPr>
              <w:t>12.19</w:t>
            </w:r>
          </w:p>
        </w:tc>
        <w:tc>
          <w:tcPr>
            <w:tcW w:w="3547" w:type="dxa"/>
          </w:tcPr>
          <w:p w14:paraId="4C849411" w14:textId="6A0EA03D" w:rsidR="0015200D" w:rsidRPr="00525577" w:rsidRDefault="0015200D" w:rsidP="00225DB4">
            <w:pPr>
              <w:rPr>
                <w:rFonts w:cstheme="minorHAnsi"/>
                <w:sz w:val="24"/>
                <w:szCs w:val="24"/>
              </w:rPr>
            </w:pPr>
            <w:r w:rsidRPr="00525577">
              <w:rPr>
                <w:rFonts w:eastAsia="Calibri" w:cstheme="minorHAnsi"/>
                <w:sz w:val="24"/>
                <w:szCs w:val="24"/>
              </w:rPr>
              <w:t>The CMHSP has a Disaster Recovery Plan.</w:t>
            </w:r>
          </w:p>
        </w:tc>
        <w:tc>
          <w:tcPr>
            <w:tcW w:w="2615" w:type="dxa"/>
            <w:vMerge/>
          </w:tcPr>
          <w:p w14:paraId="15313A34" w14:textId="116CA346" w:rsidR="0015200D" w:rsidRPr="00525577" w:rsidRDefault="0015200D" w:rsidP="00225DB4">
            <w:pPr>
              <w:rPr>
                <w:sz w:val="24"/>
                <w:szCs w:val="24"/>
              </w:rPr>
            </w:pPr>
          </w:p>
        </w:tc>
        <w:tc>
          <w:tcPr>
            <w:tcW w:w="1846" w:type="dxa"/>
          </w:tcPr>
          <w:p w14:paraId="1C929131" w14:textId="77777777" w:rsidR="0015200D" w:rsidRPr="00525577" w:rsidRDefault="0015200D" w:rsidP="00225DB4">
            <w:pPr>
              <w:rPr>
                <w:rFonts w:cstheme="minorHAnsi"/>
                <w:sz w:val="24"/>
                <w:szCs w:val="24"/>
              </w:rPr>
            </w:pPr>
          </w:p>
        </w:tc>
        <w:tc>
          <w:tcPr>
            <w:tcW w:w="1772" w:type="dxa"/>
          </w:tcPr>
          <w:p w14:paraId="3DD8D666" w14:textId="77777777" w:rsidR="0015200D" w:rsidRPr="00525577" w:rsidRDefault="0015200D" w:rsidP="00225DB4">
            <w:pPr>
              <w:rPr>
                <w:rFonts w:cstheme="minorHAnsi"/>
                <w:sz w:val="24"/>
                <w:szCs w:val="24"/>
              </w:rPr>
            </w:pPr>
          </w:p>
        </w:tc>
        <w:tc>
          <w:tcPr>
            <w:tcW w:w="3557" w:type="dxa"/>
          </w:tcPr>
          <w:p w14:paraId="434BF774" w14:textId="1E4F8669" w:rsidR="0015200D" w:rsidRPr="00525577" w:rsidRDefault="0015200D" w:rsidP="00225DB4">
            <w:pPr>
              <w:jc w:val="center"/>
              <w:rPr>
                <w:rFonts w:cstheme="minorHAnsi"/>
                <w:b/>
                <w:bCs/>
                <w:color w:val="FF0000"/>
                <w:sz w:val="24"/>
                <w:szCs w:val="24"/>
              </w:rPr>
            </w:pPr>
          </w:p>
        </w:tc>
      </w:tr>
      <w:tr w:rsidR="0015200D" w:rsidRPr="00525577" w14:paraId="775B9CA2" w14:textId="5460F52E" w:rsidTr="00B72B6A">
        <w:tc>
          <w:tcPr>
            <w:tcW w:w="926" w:type="dxa"/>
            <w:shd w:val="clear" w:color="auto" w:fill="FFFFFF" w:themeFill="background1"/>
          </w:tcPr>
          <w:p w14:paraId="354B5FB9" w14:textId="68FC0F58" w:rsidR="0015200D" w:rsidRPr="00525577" w:rsidRDefault="0015200D" w:rsidP="00225DB4">
            <w:pPr>
              <w:rPr>
                <w:sz w:val="24"/>
                <w:szCs w:val="24"/>
              </w:rPr>
            </w:pPr>
            <w:r w:rsidRPr="00525577">
              <w:rPr>
                <w:sz w:val="24"/>
                <w:szCs w:val="24"/>
              </w:rPr>
              <w:lastRenderedPageBreak/>
              <w:t>12.20</w:t>
            </w:r>
          </w:p>
        </w:tc>
        <w:tc>
          <w:tcPr>
            <w:tcW w:w="3547" w:type="dxa"/>
          </w:tcPr>
          <w:p w14:paraId="27A41A8B" w14:textId="36CCE539" w:rsidR="0015200D" w:rsidRPr="00525577" w:rsidRDefault="0015200D" w:rsidP="00225DB4">
            <w:pPr>
              <w:rPr>
                <w:rFonts w:cstheme="minorHAnsi"/>
                <w:sz w:val="24"/>
                <w:szCs w:val="24"/>
              </w:rPr>
            </w:pPr>
            <w:r w:rsidRPr="00525577">
              <w:rPr>
                <w:rFonts w:eastAsia="Calibri" w:cstheme="minorHAnsi"/>
                <w:sz w:val="24"/>
                <w:szCs w:val="24"/>
              </w:rPr>
              <w:t>The Disaster Recovery Plan is tested regularly, and the process is documented.</w:t>
            </w:r>
          </w:p>
        </w:tc>
        <w:tc>
          <w:tcPr>
            <w:tcW w:w="2615" w:type="dxa"/>
            <w:vMerge/>
          </w:tcPr>
          <w:p w14:paraId="5D9B1445" w14:textId="0B759283" w:rsidR="0015200D" w:rsidRPr="00525577" w:rsidRDefault="0015200D" w:rsidP="00225DB4">
            <w:pPr>
              <w:rPr>
                <w:sz w:val="24"/>
                <w:szCs w:val="24"/>
              </w:rPr>
            </w:pPr>
          </w:p>
        </w:tc>
        <w:tc>
          <w:tcPr>
            <w:tcW w:w="1846" w:type="dxa"/>
          </w:tcPr>
          <w:p w14:paraId="216589BD" w14:textId="77777777" w:rsidR="0015200D" w:rsidRPr="00525577" w:rsidRDefault="0015200D" w:rsidP="00225DB4">
            <w:pPr>
              <w:rPr>
                <w:rFonts w:cstheme="minorHAnsi"/>
                <w:sz w:val="24"/>
                <w:szCs w:val="24"/>
              </w:rPr>
            </w:pPr>
          </w:p>
        </w:tc>
        <w:tc>
          <w:tcPr>
            <w:tcW w:w="1772" w:type="dxa"/>
          </w:tcPr>
          <w:p w14:paraId="4F61D600" w14:textId="77777777" w:rsidR="0015200D" w:rsidRPr="00525577" w:rsidRDefault="0015200D" w:rsidP="00225DB4">
            <w:pPr>
              <w:rPr>
                <w:rFonts w:cstheme="minorHAnsi"/>
                <w:sz w:val="24"/>
                <w:szCs w:val="24"/>
              </w:rPr>
            </w:pPr>
          </w:p>
        </w:tc>
        <w:tc>
          <w:tcPr>
            <w:tcW w:w="3557" w:type="dxa"/>
          </w:tcPr>
          <w:p w14:paraId="26AACFF6" w14:textId="534522A9" w:rsidR="0015200D" w:rsidRPr="00525577" w:rsidRDefault="0015200D" w:rsidP="00225DB4">
            <w:pPr>
              <w:jc w:val="center"/>
              <w:rPr>
                <w:rFonts w:cstheme="minorHAnsi"/>
                <w:b/>
                <w:bCs/>
                <w:color w:val="FF0000"/>
                <w:sz w:val="24"/>
                <w:szCs w:val="24"/>
              </w:rPr>
            </w:pPr>
          </w:p>
        </w:tc>
      </w:tr>
      <w:tr w:rsidR="0015200D" w:rsidRPr="00525577" w14:paraId="0F1937AF" w14:textId="01F8D994" w:rsidTr="00B72B6A">
        <w:tc>
          <w:tcPr>
            <w:tcW w:w="926" w:type="dxa"/>
            <w:shd w:val="clear" w:color="auto" w:fill="FFFFFF" w:themeFill="background1"/>
          </w:tcPr>
          <w:p w14:paraId="484844DD" w14:textId="08D7AD05" w:rsidR="0015200D" w:rsidRPr="00525577" w:rsidRDefault="0015200D" w:rsidP="00225DB4">
            <w:pPr>
              <w:rPr>
                <w:sz w:val="24"/>
                <w:szCs w:val="24"/>
              </w:rPr>
            </w:pPr>
            <w:r w:rsidRPr="00525577">
              <w:rPr>
                <w:sz w:val="24"/>
                <w:szCs w:val="24"/>
              </w:rPr>
              <w:t>12.21</w:t>
            </w:r>
          </w:p>
        </w:tc>
        <w:tc>
          <w:tcPr>
            <w:tcW w:w="3547" w:type="dxa"/>
          </w:tcPr>
          <w:p w14:paraId="1786BBF0" w14:textId="76597C1D" w:rsidR="0015200D" w:rsidRPr="00525577" w:rsidRDefault="0015200D" w:rsidP="00225DB4">
            <w:pPr>
              <w:rPr>
                <w:rFonts w:cstheme="minorHAnsi"/>
                <w:sz w:val="24"/>
                <w:szCs w:val="24"/>
              </w:rPr>
            </w:pPr>
            <w:r w:rsidRPr="00525577">
              <w:rPr>
                <w:rFonts w:eastAsia="Calibri" w:cstheme="minorHAnsi"/>
                <w:sz w:val="24"/>
                <w:szCs w:val="24"/>
              </w:rPr>
              <w:t>Data is archived, and policies or procedures detail that data is kept or archived for a minimum of 6 years.</w:t>
            </w:r>
          </w:p>
        </w:tc>
        <w:tc>
          <w:tcPr>
            <w:tcW w:w="2615" w:type="dxa"/>
            <w:vMerge/>
          </w:tcPr>
          <w:p w14:paraId="26E49E03" w14:textId="77777777" w:rsidR="0015200D" w:rsidRPr="00525577" w:rsidRDefault="0015200D" w:rsidP="00225DB4">
            <w:pPr>
              <w:rPr>
                <w:rFonts w:cstheme="minorHAnsi"/>
                <w:sz w:val="24"/>
                <w:szCs w:val="24"/>
              </w:rPr>
            </w:pPr>
          </w:p>
        </w:tc>
        <w:tc>
          <w:tcPr>
            <w:tcW w:w="1846" w:type="dxa"/>
          </w:tcPr>
          <w:p w14:paraId="2B8E98EE" w14:textId="77777777" w:rsidR="0015200D" w:rsidRPr="00525577" w:rsidRDefault="0015200D" w:rsidP="00225DB4">
            <w:pPr>
              <w:rPr>
                <w:rFonts w:cstheme="minorHAnsi"/>
                <w:sz w:val="24"/>
                <w:szCs w:val="24"/>
              </w:rPr>
            </w:pPr>
          </w:p>
        </w:tc>
        <w:tc>
          <w:tcPr>
            <w:tcW w:w="1772" w:type="dxa"/>
          </w:tcPr>
          <w:p w14:paraId="188DB303" w14:textId="77777777" w:rsidR="0015200D" w:rsidRPr="00525577" w:rsidRDefault="0015200D" w:rsidP="00225DB4">
            <w:pPr>
              <w:rPr>
                <w:rFonts w:cstheme="minorHAnsi"/>
                <w:sz w:val="24"/>
                <w:szCs w:val="24"/>
              </w:rPr>
            </w:pPr>
          </w:p>
        </w:tc>
        <w:tc>
          <w:tcPr>
            <w:tcW w:w="3557" w:type="dxa"/>
          </w:tcPr>
          <w:p w14:paraId="42BFA1A3" w14:textId="460F47DF" w:rsidR="0015200D" w:rsidRPr="00525577" w:rsidRDefault="0015200D" w:rsidP="00225DB4">
            <w:pPr>
              <w:jc w:val="center"/>
              <w:rPr>
                <w:rFonts w:cstheme="minorHAnsi"/>
                <w:b/>
                <w:bCs/>
                <w:color w:val="FF0000"/>
                <w:sz w:val="24"/>
                <w:szCs w:val="24"/>
              </w:rPr>
            </w:pPr>
          </w:p>
        </w:tc>
      </w:tr>
      <w:tr w:rsidR="0015200D" w:rsidRPr="00525577" w14:paraId="43DD91EC" w14:textId="4CA8BDC3" w:rsidTr="00B72B6A">
        <w:tc>
          <w:tcPr>
            <w:tcW w:w="926" w:type="dxa"/>
          </w:tcPr>
          <w:p w14:paraId="3A94A042" w14:textId="2C2855EA" w:rsidR="0015200D" w:rsidRPr="00525577" w:rsidRDefault="0015200D" w:rsidP="00225DB4">
            <w:pPr>
              <w:rPr>
                <w:sz w:val="24"/>
                <w:szCs w:val="24"/>
              </w:rPr>
            </w:pPr>
            <w:r w:rsidRPr="00525577">
              <w:rPr>
                <w:sz w:val="24"/>
                <w:szCs w:val="24"/>
              </w:rPr>
              <w:t>12.22</w:t>
            </w:r>
          </w:p>
        </w:tc>
        <w:tc>
          <w:tcPr>
            <w:tcW w:w="3547" w:type="dxa"/>
          </w:tcPr>
          <w:p w14:paraId="72D4D9EB" w14:textId="7102493B" w:rsidR="0015200D" w:rsidRPr="00525577" w:rsidRDefault="0015200D" w:rsidP="00225DB4">
            <w:pPr>
              <w:rPr>
                <w:rFonts w:cstheme="minorHAnsi"/>
                <w:sz w:val="24"/>
                <w:szCs w:val="24"/>
              </w:rPr>
            </w:pPr>
            <w:r w:rsidRPr="00525577">
              <w:rPr>
                <w:rFonts w:eastAsia="Calibri" w:cstheme="minorHAnsi"/>
                <w:sz w:val="24"/>
                <w:szCs w:val="24"/>
              </w:rPr>
              <w:t>The CMHSP has an Emergency Mode Plan for operating only critical business processes during an incident, disaster, or natural event.</w:t>
            </w:r>
          </w:p>
        </w:tc>
        <w:tc>
          <w:tcPr>
            <w:tcW w:w="2615" w:type="dxa"/>
            <w:vMerge/>
          </w:tcPr>
          <w:p w14:paraId="6AB8F352" w14:textId="77777777" w:rsidR="0015200D" w:rsidRPr="00525577" w:rsidRDefault="0015200D" w:rsidP="00225DB4">
            <w:pPr>
              <w:rPr>
                <w:rFonts w:cstheme="minorHAnsi"/>
                <w:sz w:val="24"/>
                <w:szCs w:val="24"/>
              </w:rPr>
            </w:pPr>
          </w:p>
        </w:tc>
        <w:tc>
          <w:tcPr>
            <w:tcW w:w="1846" w:type="dxa"/>
          </w:tcPr>
          <w:p w14:paraId="545B80CE" w14:textId="77777777" w:rsidR="0015200D" w:rsidRPr="00525577" w:rsidRDefault="0015200D" w:rsidP="00225DB4">
            <w:pPr>
              <w:rPr>
                <w:rFonts w:cstheme="minorHAnsi"/>
                <w:sz w:val="24"/>
                <w:szCs w:val="24"/>
              </w:rPr>
            </w:pPr>
          </w:p>
        </w:tc>
        <w:tc>
          <w:tcPr>
            <w:tcW w:w="1772" w:type="dxa"/>
          </w:tcPr>
          <w:p w14:paraId="55694DE1" w14:textId="77777777" w:rsidR="0015200D" w:rsidRPr="00525577" w:rsidRDefault="0015200D" w:rsidP="00225DB4">
            <w:pPr>
              <w:rPr>
                <w:rFonts w:cstheme="minorHAnsi"/>
                <w:sz w:val="24"/>
                <w:szCs w:val="24"/>
              </w:rPr>
            </w:pPr>
          </w:p>
        </w:tc>
        <w:tc>
          <w:tcPr>
            <w:tcW w:w="3557" w:type="dxa"/>
          </w:tcPr>
          <w:p w14:paraId="0084C0A1" w14:textId="025305B9" w:rsidR="0015200D" w:rsidRPr="00525577" w:rsidRDefault="0015200D" w:rsidP="00225DB4">
            <w:pPr>
              <w:jc w:val="center"/>
              <w:rPr>
                <w:rFonts w:cstheme="minorHAnsi"/>
                <w:b/>
                <w:bCs/>
                <w:color w:val="FF0000"/>
                <w:sz w:val="24"/>
                <w:szCs w:val="24"/>
              </w:rPr>
            </w:pPr>
          </w:p>
        </w:tc>
      </w:tr>
      <w:tr w:rsidR="0015200D" w:rsidRPr="00525577" w14:paraId="4A4E9013" w14:textId="7FDE8B58" w:rsidTr="00566FE0">
        <w:tc>
          <w:tcPr>
            <w:tcW w:w="14263" w:type="dxa"/>
            <w:gridSpan w:val="6"/>
          </w:tcPr>
          <w:p w14:paraId="1794AB47" w14:textId="71C3DF1B" w:rsidR="0015200D" w:rsidRPr="00525577" w:rsidRDefault="00566FE0" w:rsidP="00225DB4">
            <w:pPr>
              <w:rPr>
                <w:b/>
                <w:sz w:val="24"/>
                <w:szCs w:val="24"/>
              </w:rPr>
            </w:pPr>
            <w:r w:rsidRPr="00525577">
              <w:rPr>
                <w:rFonts w:eastAsia="Calibri"/>
                <w:b/>
                <w:sz w:val="24"/>
                <w:szCs w:val="24"/>
              </w:rPr>
              <w:t xml:space="preserve">Administrative Safeguards - </w:t>
            </w:r>
            <w:r w:rsidR="0015200D" w:rsidRPr="00525577">
              <w:rPr>
                <w:b/>
                <w:sz w:val="24"/>
                <w:szCs w:val="24"/>
              </w:rPr>
              <w:t>Compliance Assurance</w:t>
            </w:r>
            <w:r w:rsidRPr="00525577">
              <w:rPr>
                <w:b/>
                <w:sz w:val="24"/>
                <w:szCs w:val="24"/>
              </w:rPr>
              <w:t>:</w:t>
            </w:r>
            <w:r w:rsidR="00D60439" w:rsidRPr="00525577">
              <w:rPr>
                <w:b/>
                <w:sz w:val="24"/>
                <w:szCs w:val="24"/>
              </w:rPr>
              <w:t xml:space="preserve"> </w:t>
            </w:r>
          </w:p>
        </w:tc>
      </w:tr>
      <w:tr w:rsidR="000307F5" w:rsidRPr="00525577" w14:paraId="423445F6" w14:textId="77777777" w:rsidTr="00B72B6A">
        <w:tc>
          <w:tcPr>
            <w:tcW w:w="926" w:type="dxa"/>
            <w:shd w:val="clear" w:color="auto" w:fill="FFFFFF" w:themeFill="background1"/>
          </w:tcPr>
          <w:p w14:paraId="2FB07CD5" w14:textId="640D7A3D" w:rsidR="006516F8" w:rsidRPr="00525577" w:rsidRDefault="006516F8" w:rsidP="00225DB4">
            <w:pPr>
              <w:rPr>
                <w:sz w:val="24"/>
                <w:szCs w:val="24"/>
              </w:rPr>
            </w:pPr>
            <w:r w:rsidRPr="00525577">
              <w:rPr>
                <w:sz w:val="24"/>
                <w:szCs w:val="24"/>
              </w:rPr>
              <w:t>12.23</w:t>
            </w:r>
          </w:p>
        </w:tc>
        <w:tc>
          <w:tcPr>
            <w:tcW w:w="3547" w:type="dxa"/>
            <w:shd w:val="clear" w:color="auto" w:fill="FFFFFF" w:themeFill="background1"/>
          </w:tcPr>
          <w:p w14:paraId="20B1D1D2" w14:textId="133DAD5B" w:rsidR="006516F8" w:rsidRPr="00525577" w:rsidRDefault="006516F8" w:rsidP="00225DB4">
            <w:pPr>
              <w:rPr>
                <w:rFonts w:cstheme="minorHAnsi"/>
                <w:sz w:val="24"/>
                <w:szCs w:val="24"/>
              </w:rPr>
            </w:pPr>
            <w:r w:rsidRPr="00525577">
              <w:rPr>
                <w:rFonts w:eastAsia="Calibri" w:cstheme="minorHAnsi"/>
                <w:sz w:val="24"/>
                <w:szCs w:val="24"/>
              </w:rPr>
              <w:t xml:space="preserve">The CMHSP uses Business Associate Contracts and Data Use Agreements when sharing PHI with </w:t>
            </w:r>
            <w:proofErr w:type="gramStart"/>
            <w:r w:rsidRPr="00525577">
              <w:rPr>
                <w:rFonts w:eastAsia="Calibri" w:cstheme="minorHAnsi"/>
                <w:sz w:val="24"/>
                <w:szCs w:val="24"/>
              </w:rPr>
              <w:t>any and all</w:t>
            </w:r>
            <w:proofErr w:type="gramEnd"/>
            <w:r w:rsidRPr="00525577">
              <w:rPr>
                <w:rFonts w:eastAsia="Calibri" w:cstheme="minorHAnsi"/>
                <w:sz w:val="24"/>
                <w:szCs w:val="24"/>
              </w:rPr>
              <w:t xml:space="preserve"> outside vendors and organizations.</w:t>
            </w:r>
          </w:p>
        </w:tc>
        <w:tc>
          <w:tcPr>
            <w:tcW w:w="2615" w:type="dxa"/>
            <w:vMerge w:val="restart"/>
            <w:shd w:val="clear" w:color="auto" w:fill="FFFFFF" w:themeFill="background1"/>
          </w:tcPr>
          <w:p w14:paraId="295CA10D" w14:textId="14302931" w:rsidR="006516F8" w:rsidRPr="00525577" w:rsidRDefault="006516F8" w:rsidP="00225DB4">
            <w:pPr>
              <w:rPr>
                <w:rFonts w:eastAsia="Calibri" w:cstheme="minorHAnsi"/>
                <w:sz w:val="24"/>
                <w:szCs w:val="24"/>
              </w:rPr>
            </w:pPr>
            <w:r w:rsidRPr="00525577">
              <w:rPr>
                <w:rFonts w:eastAsia="Calibri" w:cstheme="minorHAnsi"/>
                <w:sz w:val="24"/>
                <w:szCs w:val="24"/>
              </w:rPr>
              <w:t xml:space="preserve">HIPAA Security and Privacy, 45 CFR Parts 160 &amp; 164 Subparts A, B, C, D, E. </w:t>
            </w:r>
          </w:p>
          <w:p w14:paraId="1D452C48" w14:textId="77777777" w:rsidR="006516F8" w:rsidRPr="00525577" w:rsidRDefault="006516F8" w:rsidP="00225DB4">
            <w:pPr>
              <w:rPr>
                <w:rFonts w:eastAsia="Calibri" w:cstheme="minorHAnsi"/>
                <w:sz w:val="24"/>
                <w:szCs w:val="24"/>
              </w:rPr>
            </w:pPr>
          </w:p>
          <w:p w14:paraId="60CB21FB" w14:textId="32C4D5E4" w:rsidR="006516F8" w:rsidRPr="00525577" w:rsidRDefault="006516F8" w:rsidP="00225DB4">
            <w:pPr>
              <w:rPr>
                <w:rFonts w:cstheme="minorHAnsi"/>
                <w:sz w:val="24"/>
                <w:szCs w:val="24"/>
              </w:rPr>
            </w:pPr>
            <w:r w:rsidRPr="00525577">
              <w:rPr>
                <w:rFonts w:eastAsia="Calibri" w:cstheme="minorHAnsi"/>
                <w:sz w:val="24"/>
                <w:szCs w:val="24"/>
              </w:rPr>
              <w:t xml:space="preserve">LRE/CMHSP Participant contract delegation </w:t>
            </w:r>
            <w:r w:rsidRPr="00525577">
              <w:rPr>
                <w:rFonts w:eastAsia="Calibri" w:cstheme="minorHAnsi"/>
                <w:sz w:val="24"/>
                <w:szCs w:val="24"/>
              </w:rPr>
              <w:lastRenderedPageBreak/>
              <w:t>grid; Commonly accepted IT practices</w:t>
            </w:r>
          </w:p>
        </w:tc>
        <w:tc>
          <w:tcPr>
            <w:tcW w:w="1846" w:type="dxa"/>
            <w:shd w:val="clear" w:color="auto" w:fill="FFFFFF" w:themeFill="background1"/>
          </w:tcPr>
          <w:p w14:paraId="6BE378F7" w14:textId="77777777" w:rsidR="006516F8" w:rsidRPr="00525577" w:rsidRDefault="006516F8" w:rsidP="00225DB4">
            <w:pPr>
              <w:rPr>
                <w:rFonts w:cstheme="minorHAnsi"/>
                <w:sz w:val="24"/>
                <w:szCs w:val="24"/>
              </w:rPr>
            </w:pPr>
          </w:p>
        </w:tc>
        <w:tc>
          <w:tcPr>
            <w:tcW w:w="1772" w:type="dxa"/>
            <w:shd w:val="clear" w:color="auto" w:fill="FFFFFF" w:themeFill="background1"/>
          </w:tcPr>
          <w:p w14:paraId="10A49352" w14:textId="77777777" w:rsidR="006516F8" w:rsidRPr="00525577" w:rsidRDefault="006516F8" w:rsidP="00225DB4">
            <w:pPr>
              <w:rPr>
                <w:rFonts w:cstheme="minorHAnsi"/>
                <w:sz w:val="24"/>
                <w:szCs w:val="24"/>
              </w:rPr>
            </w:pPr>
          </w:p>
        </w:tc>
        <w:tc>
          <w:tcPr>
            <w:tcW w:w="3557" w:type="dxa"/>
            <w:shd w:val="clear" w:color="auto" w:fill="FFFFFF" w:themeFill="background1"/>
          </w:tcPr>
          <w:p w14:paraId="60F8C1EB" w14:textId="57E5C245" w:rsidR="006516F8" w:rsidRPr="00525577" w:rsidRDefault="006516F8" w:rsidP="00225DB4">
            <w:pPr>
              <w:jc w:val="center"/>
              <w:rPr>
                <w:rFonts w:cstheme="minorHAnsi"/>
                <w:b/>
                <w:bCs/>
                <w:color w:val="FF0000"/>
                <w:sz w:val="24"/>
                <w:szCs w:val="24"/>
              </w:rPr>
            </w:pPr>
          </w:p>
        </w:tc>
      </w:tr>
      <w:tr w:rsidR="000307F5" w:rsidRPr="00525577" w14:paraId="594457B0" w14:textId="77777777" w:rsidTr="00B72B6A">
        <w:tc>
          <w:tcPr>
            <w:tcW w:w="926" w:type="dxa"/>
            <w:shd w:val="clear" w:color="auto" w:fill="FFFFFF" w:themeFill="background1"/>
          </w:tcPr>
          <w:p w14:paraId="16611EB0" w14:textId="7417588A" w:rsidR="006516F8" w:rsidRPr="00525577" w:rsidRDefault="006516F8" w:rsidP="00225DB4">
            <w:pPr>
              <w:rPr>
                <w:sz w:val="24"/>
                <w:szCs w:val="24"/>
              </w:rPr>
            </w:pPr>
            <w:r w:rsidRPr="00525577">
              <w:rPr>
                <w:sz w:val="24"/>
                <w:szCs w:val="24"/>
              </w:rPr>
              <w:t>12.24</w:t>
            </w:r>
          </w:p>
        </w:tc>
        <w:tc>
          <w:tcPr>
            <w:tcW w:w="3547" w:type="dxa"/>
            <w:shd w:val="clear" w:color="auto" w:fill="FFFFFF" w:themeFill="background1"/>
          </w:tcPr>
          <w:p w14:paraId="26E3081A" w14:textId="37E0A17C" w:rsidR="006516F8" w:rsidRPr="00525577" w:rsidRDefault="006516F8" w:rsidP="00225DB4">
            <w:pPr>
              <w:rPr>
                <w:rFonts w:cstheme="minorHAnsi"/>
                <w:sz w:val="24"/>
                <w:szCs w:val="24"/>
              </w:rPr>
            </w:pPr>
            <w:r w:rsidRPr="00525577">
              <w:rPr>
                <w:rFonts w:eastAsia="Calibri" w:cstheme="minorHAnsi"/>
                <w:sz w:val="24"/>
                <w:szCs w:val="24"/>
              </w:rPr>
              <w:t xml:space="preserve">The CMHSP has policies or procedures in place for how to </w:t>
            </w:r>
            <w:r w:rsidRPr="00525577">
              <w:rPr>
                <w:rFonts w:eastAsia="Calibri" w:cstheme="minorHAnsi"/>
                <w:sz w:val="24"/>
                <w:szCs w:val="24"/>
              </w:rPr>
              <w:lastRenderedPageBreak/>
              <w:t>adhere to compliance requirements including HIPAA and handling PHI.</w:t>
            </w:r>
          </w:p>
        </w:tc>
        <w:tc>
          <w:tcPr>
            <w:tcW w:w="2615" w:type="dxa"/>
            <w:vMerge/>
            <w:shd w:val="clear" w:color="auto" w:fill="FFFFFF" w:themeFill="background1"/>
          </w:tcPr>
          <w:p w14:paraId="6EBA8FD4" w14:textId="77777777" w:rsidR="006516F8" w:rsidRPr="00525577" w:rsidRDefault="006516F8" w:rsidP="00225DB4">
            <w:pPr>
              <w:rPr>
                <w:rFonts w:cstheme="minorHAnsi"/>
                <w:sz w:val="24"/>
                <w:szCs w:val="24"/>
              </w:rPr>
            </w:pPr>
          </w:p>
        </w:tc>
        <w:tc>
          <w:tcPr>
            <w:tcW w:w="1846" w:type="dxa"/>
            <w:shd w:val="clear" w:color="auto" w:fill="FFFFFF" w:themeFill="background1"/>
          </w:tcPr>
          <w:p w14:paraId="062CB5AD" w14:textId="77777777" w:rsidR="006516F8" w:rsidRPr="00525577" w:rsidRDefault="006516F8" w:rsidP="00225DB4">
            <w:pPr>
              <w:rPr>
                <w:rFonts w:cstheme="minorHAnsi"/>
                <w:sz w:val="24"/>
                <w:szCs w:val="24"/>
              </w:rPr>
            </w:pPr>
          </w:p>
        </w:tc>
        <w:tc>
          <w:tcPr>
            <w:tcW w:w="1772" w:type="dxa"/>
            <w:shd w:val="clear" w:color="auto" w:fill="FFFFFF" w:themeFill="background1"/>
          </w:tcPr>
          <w:p w14:paraId="7C42527C" w14:textId="77777777" w:rsidR="006516F8" w:rsidRPr="00525577" w:rsidRDefault="006516F8" w:rsidP="00225DB4">
            <w:pPr>
              <w:rPr>
                <w:rFonts w:cstheme="minorHAnsi"/>
                <w:sz w:val="24"/>
                <w:szCs w:val="24"/>
              </w:rPr>
            </w:pPr>
          </w:p>
        </w:tc>
        <w:tc>
          <w:tcPr>
            <w:tcW w:w="3557" w:type="dxa"/>
            <w:shd w:val="clear" w:color="auto" w:fill="FFFFFF" w:themeFill="background1"/>
          </w:tcPr>
          <w:p w14:paraId="1763586F" w14:textId="324338C6" w:rsidR="006516F8" w:rsidRPr="00525577" w:rsidRDefault="006516F8" w:rsidP="00225DB4">
            <w:pPr>
              <w:jc w:val="center"/>
              <w:rPr>
                <w:rFonts w:cstheme="minorHAnsi"/>
                <w:b/>
                <w:bCs/>
                <w:color w:val="FF0000"/>
                <w:sz w:val="24"/>
                <w:szCs w:val="24"/>
              </w:rPr>
            </w:pPr>
          </w:p>
        </w:tc>
      </w:tr>
      <w:tr w:rsidR="000307F5" w:rsidRPr="00525577" w14:paraId="4969D3E0" w14:textId="77777777" w:rsidTr="00B72B6A">
        <w:tc>
          <w:tcPr>
            <w:tcW w:w="926" w:type="dxa"/>
            <w:shd w:val="clear" w:color="auto" w:fill="FFFFFF" w:themeFill="background1"/>
          </w:tcPr>
          <w:p w14:paraId="3021FC26" w14:textId="3EAC92EE" w:rsidR="006516F8" w:rsidRPr="00525577" w:rsidRDefault="006516F8" w:rsidP="00225DB4">
            <w:pPr>
              <w:rPr>
                <w:sz w:val="24"/>
                <w:szCs w:val="24"/>
              </w:rPr>
            </w:pPr>
            <w:r w:rsidRPr="00525577">
              <w:rPr>
                <w:sz w:val="24"/>
                <w:szCs w:val="24"/>
              </w:rPr>
              <w:t>12.25</w:t>
            </w:r>
          </w:p>
        </w:tc>
        <w:tc>
          <w:tcPr>
            <w:tcW w:w="3547" w:type="dxa"/>
            <w:shd w:val="clear" w:color="auto" w:fill="FFFFFF" w:themeFill="background1"/>
          </w:tcPr>
          <w:p w14:paraId="22D30789" w14:textId="135F9AD3" w:rsidR="006516F8" w:rsidRPr="00525577" w:rsidRDefault="006516F8" w:rsidP="00225DB4">
            <w:pPr>
              <w:rPr>
                <w:rFonts w:cstheme="minorHAnsi"/>
                <w:sz w:val="24"/>
                <w:szCs w:val="24"/>
              </w:rPr>
            </w:pPr>
            <w:r w:rsidRPr="00525577">
              <w:rPr>
                <w:rFonts w:eastAsia="Calibri" w:cstheme="minorHAnsi"/>
                <w:sz w:val="24"/>
                <w:szCs w:val="24"/>
              </w:rPr>
              <w:t xml:space="preserve">The CMHSP has had a 3rd party security audit conducted within 18 months, </w:t>
            </w:r>
            <w:proofErr w:type="gramStart"/>
            <w:r w:rsidRPr="00525577">
              <w:rPr>
                <w:rFonts w:eastAsia="Calibri" w:cstheme="minorHAnsi"/>
                <w:sz w:val="24"/>
                <w:szCs w:val="24"/>
              </w:rPr>
              <w:t>or</w:t>
            </w:r>
            <w:proofErr w:type="gramEnd"/>
            <w:r w:rsidRPr="00525577">
              <w:rPr>
                <w:rFonts w:eastAsia="Calibri" w:cstheme="minorHAnsi"/>
                <w:sz w:val="24"/>
                <w:szCs w:val="24"/>
              </w:rPr>
              <w:t xml:space="preserve"> has an audit scheduled within the next 6 months.</w:t>
            </w:r>
          </w:p>
        </w:tc>
        <w:tc>
          <w:tcPr>
            <w:tcW w:w="2615" w:type="dxa"/>
            <w:vMerge/>
            <w:shd w:val="clear" w:color="auto" w:fill="FFFFFF" w:themeFill="background1"/>
          </w:tcPr>
          <w:p w14:paraId="14D4E26C" w14:textId="77777777" w:rsidR="006516F8" w:rsidRPr="00525577" w:rsidRDefault="006516F8" w:rsidP="00225DB4">
            <w:pPr>
              <w:rPr>
                <w:rFonts w:cstheme="minorHAnsi"/>
                <w:sz w:val="24"/>
                <w:szCs w:val="24"/>
              </w:rPr>
            </w:pPr>
          </w:p>
        </w:tc>
        <w:tc>
          <w:tcPr>
            <w:tcW w:w="1846" w:type="dxa"/>
            <w:shd w:val="clear" w:color="auto" w:fill="FFFFFF" w:themeFill="background1"/>
          </w:tcPr>
          <w:p w14:paraId="45FEFFEF" w14:textId="77777777" w:rsidR="006516F8" w:rsidRPr="00525577" w:rsidRDefault="006516F8" w:rsidP="00225DB4">
            <w:pPr>
              <w:rPr>
                <w:rFonts w:cstheme="minorHAnsi"/>
                <w:sz w:val="24"/>
                <w:szCs w:val="24"/>
              </w:rPr>
            </w:pPr>
          </w:p>
        </w:tc>
        <w:tc>
          <w:tcPr>
            <w:tcW w:w="1772" w:type="dxa"/>
            <w:shd w:val="clear" w:color="auto" w:fill="FFFFFF" w:themeFill="background1"/>
          </w:tcPr>
          <w:p w14:paraId="62AD3E3A" w14:textId="77777777" w:rsidR="006516F8" w:rsidRPr="00525577" w:rsidRDefault="006516F8" w:rsidP="00225DB4">
            <w:pPr>
              <w:rPr>
                <w:rFonts w:cstheme="minorHAnsi"/>
                <w:sz w:val="24"/>
                <w:szCs w:val="24"/>
              </w:rPr>
            </w:pPr>
          </w:p>
        </w:tc>
        <w:tc>
          <w:tcPr>
            <w:tcW w:w="3557" w:type="dxa"/>
            <w:shd w:val="clear" w:color="auto" w:fill="FFFFFF" w:themeFill="background1"/>
          </w:tcPr>
          <w:p w14:paraId="2B391F13" w14:textId="23C75CE3" w:rsidR="006516F8" w:rsidRPr="00525577" w:rsidRDefault="006516F8" w:rsidP="00225DB4">
            <w:pPr>
              <w:jc w:val="center"/>
              <w:rPr>
                <w:rFonts w:cstheme="minorHAnsi"/>
                <w:b/>
                <w:bCs/>
                <w:color w:val="FF0000"/>
                <w:sz w:val="24"/>
                <w:szCs w:val="24"/>
              </w:rPr>
            </w:pPr>
          </w:p>
        </w:tc>
      </w:tr>
      <w:tr w:rsidR="006516F8" w:rsidRPr="00525577" w14:paraId="777BD348" w14:textId="77777777" w:rsidTr="00566FE0">
        <w:tc>
          <w:tcPr>
            <w:tcW w:w="14263" w:type="dxa"/>
            <w:gridSpan w:val="6"/>
          </w:tcPr>
          <w:p w14:paraId="55068DD4" w14:textId="43B221CC" w:rsidR="006516F8" w:rsidRPr="00525577" w:rsidRDefault="00566FE0" w:rsidP="00225DB4">
            <w:pPr>
              <w:rPr>
                <w:b/>
                <w:sz w:val="24"/>
                <w:szCs w:val="24"/>
              </w:rPr>
            </w:pPr>
            <w:r w:rsidRPr="00525577">
              <w:rPr>
                <w:b/>
                <w:sz w:val="24"/>
                <w:szCs w:val="24"/>
              </w:rPr>
              <w:t xml:space="preserve">Technical Safeguards - </w:t>
            </w:r>
            <w:r w:rsidR="006516F8" w:rsidRPr="00525577">
              <w:rPr>
                <w:b/>
                <w:sz w:val="24"/>
                <w:szCs w:val="24"/>
              </w:rPr>
              <w:t>Assess/Audit Controls</w:t>
            </w:r>
            <w:r w:rsidRPr="00525577">
              <w:rPr>
                <w:b/>
                <w:sz w:val="24"/>
                <w:szCs w:val="24"/>
              </w:rPr>
              <w:t>:</w:t>
            </w:r>
            <w:r w:rsidR="00D60439" w:rsidRPr="00525577">
              <w:rPr>
                <w:b/>
                <w:sz w:val="24"/>
                <w:szCs w:val="24"/>
              </w:rPr>
              <w:t xml:space="preserve"> </w:t>
            </w:r>
          </w:p>
        </w:tc>
      </w:tr>
      <w:tr w:rsidR="000307F5" w:rsidRPr="00525577" w14:paraId="20F5BE68" w14:textId="77777777" w:rsidTr="00B72B6A">
        <w:tc>
          <w:tcPr>
            <w:tcW w:w="926" w:type="dxa"/>
            <w:shd w:val="clear" w:color="auto" w:fill="FFFFFF" w:themeFill="background1"/>
          </w:tcPr>
          <w:p w14:paraId="5E6A7E1E" w14:textId="055B9B23" w:rsidR="00B46C71" w:rsidRPr="00525577" w:rsidRDefault="00B46C71" w:rsidP="00225DB4">
            <w:pPr>
              <w:rPr>
                <w:sz w:val="24"/>
                <w:szCs w:val="24"/>
              </w:rPr>
            </w:pPr>
            <w:r w:rsidRPr="00525577">
              <w:rPr>
                <w:sz w:val="24"/>
                <w:szCs w:val="24"/>
              </w:rPr>
              <w:t>12.26</w:t>
            </w:r>
          </w:p>
        </w:tc>
        <w:tc>
          <w:tcPr>
            <w:tcW w:w="3547" w:type="dxa"/>
            <w:shd w:val="clear" w:color="auto" w:fill="FFFFFF" w:themeFill="background1"/>
          </w:tcPr>
          <w:p w14:paraId="36752735" w14:textId="485E76CD" w:rsidR="00B46C71" w:rsidRPr="00525577" w:rsidRDefault="00B46C71" w:rsidP="00225DB4">
            <w:pPr>
              <w:rPr>
                <w:rFonts w:cstheme="minorHAnsi"/>
                <w:sz w:val="24"/>
                <w:szCs w:val="24"/>
              </w:rPr>
            </w:pPr>
            <w:r w:rsidRPr="00525577">
              <w:rPr>
                <w:rFonts w:cstheme="minorHAnsi"/>
                <w:sz w:val="24"/>
                <w:szCs w:val="24"/>
              </w:rPr>
              <w:t>Unique user IDs are assigned to all users.</w:t>
            </w:r>
          </w:p>
        </w:tc>
        <w:tc>
          <w:tcPr>
            <w:tcW w:w="2615" w:type="dxa"/>
            <w:vMerge w:val="restart"/>
            <w:shd w:val="clear" w:color="auto" w:fill="FFFFFF" w:themeFill="background1"/>
          </w:tcPr>
          <w:p w14:paraId="7B79DF73" w14:textId="76BE719D" w:rsidR="00B46C71" w:rsidRPr="00525577" w:rsidRDefault="00B46C71" w:rsidP="00225DB4">
            <w:pPr>
              <w:rPr>
                <w:sz w:val="24"/>
                <w:szCs w:val="24"/>
              </w:rPr>
            </w:pPr>
            <w:r w:rsidRPr="00525577">
              <w:rPr>
                <w:sz w:val="24"/>
                <w:szCs w:val="24"/>
              </w:rPr>
              <w:t xml:space="preserve">HIPAA Security and Privacy, 45 CFR Parts 160 &amp; 164 Subparts A, B, C, D, </w:t>
            </w:r>
            <w:proofErr w:type="gramStart"/>
            <w:r w:rsidRPr="00525577">
              <w:rPr>
                <w:sz w:val="24"/>
                <w:szCs w:val="24"/>
              </w:rPr>
              <w:t>E;</w:t>
            </w:r>
            <w:proofErr w:type="gramEnd"/>
            <w:r w:rsidRPr="00525577">
              <w:rPr>
                <w:sz w:val="24"/>
                <w:szCs w:val="24"/>
              </w:rPr>
              <w:t xml:space="preserve"> </w:t>
            </w:r>
          </w:p>
          <w:p w14:paraId="476DDBB8" w14:textId="15B7268F" w:rsidR="00B46C71" w:rsidRPr="00525577" w:rsidRDefault="00B46C71" w:rsidP="00225DB4">
            <w:pPr>
              <w:rPr>
                <w:sz w:val="24"/>
                <w:szCs w:val="24"/>
              </w:rPr>
            </w:pPr>
            <w:r w:rsidRPr="00525577">
              <w:rPr>
                <w:sz w:val="24"/>
                <w:szCs w:val="24"/>
              </w:rPr>
              <w:t>LRE/CMHSP Participant contract delegation grid; Commonly accepted IT practices</w:t>
            </w:r>
          </w:p>
        </w:tc>
        <w:tc>
          <w:tcPr>
            <w:tcW w:w="1846" w:type="dxa"/>
            <w:shd w:val="clear" w:color="auto" w:fill="FFFFFF" w:themeFill="background1"/>
          </w:tcPr>
          <w:p w14:paraId="5C92F5E9" w14:textId="77777777" w:rsidR="00B46C71" w:rsidRPr="00525577" w:rsidRDefault="00B46C71" w:rsidP="00225DB4">
            <w:pPr>
              <w:rPr>
                <w:rFonts w:cstheme="minorHAnsi"/>
                <w:sz w:val="24"/>
                <w:szCs w:val="24"/>
              </w:rPr>
            </w:pPr>
          </w:p>
        </w:tc>
        <w:tc>
          <w:tcPr>
            <w:tcW w:w="1772" w:type="dxa"/>
            <w:shd w:val="clear" w:color="auto" w:fill="FFFFFF" w:themeFill="background1"/>
          </w:tcPr>
          <w:p w14:paraId="0CF0E435" w14:textId="77777777" w:rsidR="00B46C71" w:rsidRPr="00525577" w:rsidRDefault="00B46C71" w:rsidP="00225DB4">
            <w:pPr>
              <w:rPr>
                <w:rFonts w:cstheme="minorHAnsi"/>
                <w:sz w:val="24"/>
                <w:szCs w:val="24"/>
              </w:rPr>
            </w:pPr>
          </w:p>
        </w:tc>
        <w:tc>
          <w:tcPr>
            <w:tcW w:w="3557" w:type="dxa"/>
            <w:shd w:val="clear" w:color="auto" w:fill="FFFFFF" w:themeFill="background1"/>
          </w:tcPr>
          <w:p w14:paraId="106F82B3" w14:textId="33177897" w:rsidR="00B46C71" w:rsidRPr="00525577" w:rsidRDefault="00B46C71" w:rsidP="00225DB4">
            <w:pPr>
              <w:jc w:val="center"/>
              <w:rPr>
                <w:rFonts w:cstheme="minorHAnsi"/>
                <w:b/>
                <w:bCs/>
                <w:color w:val="FF0000"/>
                <w:sz w:val="24"/>
                <w:szCs w:val="24"/>
              </w:rPr>
            </w:pPr>
          </w:p>
        </w:tc>
      </w:tr>
      <w:tr w:rsidR="000307F5" w:rsidRPr="00525577" w14:paraId="6788DD72" w14:textId="77777777" w:rsidTr="00B72B6A">
        <w:tc>
          <w:tcPr>
            <w:tcW w:w="926" w:type="dxa"/>
            <w:shd w:val="clear" w:color="auto" w:fill="FFFFFF" w:themeFill="background1"/>
          </w:tcPr>
          <w:p w14:paraId="1849DD25" w14:textId="16FA79CD" w:rsidR="00B46C71" w:rsidRPr="00525577" w:rsidRDefault="00B46C71" w:rsidP="00225DB4">
            <w:pPr>
              <w:rPr>
                <w:sz w:val="24"/>
                <w:szCs w:val="24"/>
              </w:rPr>
            </w:pPr>
            <w:r w:rsidRPr="00525577">
              <w:rPr>
                <w:sz w:val="24"/>
                <w:szCs w:val="24"/>
              </w:rPr>
              <w:t>12.27</w:t>
            </w:r>
          </w:p>
        </w:tc>
        <w:tc>
          <w:tcPr>
            <w:tcW w:w="3547" w:type="dxa"/>
            <w:shd w:val="clear" w:color="auto" w:fill="FFFFFF" w:themeFill="background1"/>
          </w:tcPr>
          <w:p w14:paraId="64B58B36" w14:textId="0C2C0FDE" w:rsidR="00B46C71" w:rsidRPr="00525577" w:rsidRDefault="00B46C71" w:rsidP="00225DB4">
            <w:pPr>
              <w:rPr>
                <w:rFonts w:cstheme="minorHAnsi"/>
                <w:sz w:val="24"/>
                <w:szCs w:val="24"/>
              </w:rPr>
            </w:pPr>
            <w:proofErr w:type="gramStart"/>
            <w:r w:rsidRPr="00525577">
              <w:rPr>
                <w:rFonts w:cstheme="minorHAnsi"/>
                <w:sz w:val="24"/>
                <w:szCs w:val="24"/>
              </w:rPr>
              <w:t>A system</w:t>
            </w:r>
            <w:proofErr w:type="gramEnd"/>
            <w:r w:rsidRPr="00525577">
              <w:rPr>
                <w:rFonts w:cstheme="minorHAnsi"/>
                <w:sz w:val="24"/>
                <w:szCs w:val="24"/>
              </w:rPr>
              <w:t xml:space="preserve"> is in place to maintain access controls and authentication mechanism (ex. Active Directory).</w:t>
            </w:r>
          </w:p>
        </w:tc>
        <w:tc>
          <w:tcPr>
            <w:tcW w:w="2615" w:type="dxa"/>
            <w:vMerge/>
            <w:shd w:val="clear" w:color="auto" w:fill="FFFFFF" w:themeFill="background1"/>
          </w:tcPr>
          <w:p w14:paraId="23AA8E5B" w14:textId="77777777" w:rsidR="00B46C71" w:rsidRPr="00525577" w:rsidRDefault="00B46C71" w:rsidP="00225DB4">
            <w:pPr>
              <w:rPr>
                <w:rFonts w:cstheme="minorHAnsi"/>
                <w:sz w:val="24"/>
                <w:szCs w:val="24"/>
              </w:rPr>
            </w:pPr>
          </w:p>
        </w:tc>
        <w:tc>
          <w:tcPr>
            <w:tcW w:w="1846" w:type="dxa"/>
            <w:shd w:val="clear" w:color="auto" w:fill="FFFFFF" w:themeFill="background1"/>
          </w:tcPr>
          <w:p w14:paraId="6123F693" w14:textId="77777777" w:rsidR="00B46C71" w:rsidRPr="00525577" w:rsidRDefault="00B46C71" w:rsidP="00225DB4">
            <w:pPr>
              <w:rPr>
                <w:rFonts w:cstheme="minorHAnsi"/>
                <w:sz w:val="24"/>
                <w:szCs w:val="24"/>
              </w:rPr>
            </w:pPr>
          </w:p>
        </w:tc>
        <w:tc>
          <w:tcPr>
            <w:tcW w:w="1772" w:type="dxa"/>
            <w:shd w:val="clear" w:color="auto" w:fill="FFFFFF" w:themeFill="background1"/>
          </w:tcPr>
          <w:p w14:paraId="3BB7441D" w14:textId="77777777" w:rsidR="00B46C71" w:rsidRPr="00525577" w:rsidRDefault="00B46C71" w:rsidP="00225DB4">
            <w:pPr>
              <w:rPr>
                <w:rFonts w:cstheme="minorHAnsi"/>
                <w:sz w:val="24"/>
                <w:szCs w:val="24"/>
              </w:rPr>
            </w:pPr>
          </w:p>
        </w:tc>
        <w:tc>
          <w:tcPr>
            <w:tcW w:w="3557" w:type="dxa"/>
            <w:shd w:val="clear" w:color="auto" w:fill="FFFFFF" w:themeFill="background1"/>
          </w:tcPr>
          <w:p w14:paraId="5881DEF5" w14:textId="77777777" w:rsidR="00B46C71" w:rsidRPr="00525577" w:rsidRDefault="00B46C71" w:rsidP="00225DB4">
            <w:pPr>
              <w:jc w:val="center"/>
              <w:rPr>
                <w:rFonts w:cstheme="minorHAnsi"/>
                <w:b/>
                <w:bCs/>
                <w:color w:val="FF0000"/>
                <w:sz w:val="24"/>
                <w:szCs w:val="24"/>
              </w:rPr>
            </w:pPr>
          </w:p>
          <w:p w14:paraId="00BCD6CB" w14:textId="54DCBBA4" w:rsidR="00B72B6A" w:rsidRPr="00525577" w:rsidRDefault="00B72B6A" w:rsidP="00B72B6A">
            <w:pPr>
              <w:jc w:val="center"/>
              <w:rPr>
                <w:rFonts w:cstheme="minorHAnsi"/>
                <w:b/>
                <w:bCs/>
                <w:sz w:val="24"/>
                <w:szCs w:val="24"/>
              </w:rPr>
            </w:pPr>
          </w:p>
        </w:tc>
      </w:tr>
      <w:tr w:rsidR="000307F5" w:rsidRPr="00525577" w14:paraId="47405506" w14:textId="77777777" w:rsidTr="00B72B6A">
        <w:tc>
          <w:tcPr>
            <w:tcW w:w="926" w:type="dxa"/>
            <w:shd w:val="clear" w:color="auto" w:fill="FFFFFF" w:themeFill="background1"/>
          </w:tcPr>
          <w:p w14:paraId="64879D39" w14:textId="2B7D7D6E" w:rsidR="00B46C71" w:rsidRPr="00525577" w:rsidRDefault="00B46C71" w:rsidP="00225DB4">
            <w:pPr>
              <w:rPr>
                <w:sz w:val="24"/>
                <w:szCs w:val="24"/>
              </w:rPr>
            </w:pPr>
            <w:r w:rsidRPr="00525577">
              <w:rPr>
                <w:sz w:val="24"/>
                <w:szCs w:val="24"/>
              </w:rPr>
              <w:t>12.28</w:t>
            </w:r>
          </w:p>
        </w:tc>
        <w:tc>
          <w:tcPr>
            <w:tcW w:w="3547" w:type="dxa"/>
            <w:shd w:val="clear" w:color="auto" w:fill="FFFFFF" w:themeFill="background1"/>
          </w:tcPr>
          <w:p w14:paraId="41A77D5B" w14:textId="5B82B5FD" w:rsidR="00B46C71" w:rsidRPr="00525577" w:rsidRDefault="00B46C71" w:rsidP="00225DB4">
            <w:pPr>
              <w:rPr>
                <w:rFonts w:cstheme="minorHAnsi"/>
                <w:sz w:val="24"/>
                <w:szCs w:val="24"/>
              </w:rPr>
            </w:pPr>
            <w:r w:rsidRPr="00525577">
              <w:rPr>
                <w:rFonts w:cstheme="minorHAnsi"/>
                <w:sz w:val="24"/>
                <w:szCs w:val="24"/>
              </w:rPr>
              <w:t>Access controls to PHI are managed using the concept of “least privilege” and changes are made by approved administrative staff only.</w:t>
            </w:r>
          </w:p>
        </w:tc>
        <w:tc>
          <w:tcPr>
            <w:tcW w:w="2615" w:type="dxa"/>
            <w:vMerge/>
            <w:shd w:val="clear" w:color="auto" w:fill="FFFFFF" w:themeFill="background1"/>
          </w:tcPr>
          <w:p w14:paraId="5180EA3E" w14:textId="77777777" w:rsidR="00B46C71" w:rsidRPr="00525577" w:rsidRDefault="00B46C71" w:rsidP="00225DB4">
            <w:pPr>
              <w:rPr>
                <w:rFonts w:cstheme="minorHAnsi"/>
                <w:sz w:val="24"/>
                <w:szCs w:val="24"/>
              </w:rPr>
            </w:pPr>
          </w:p>
        </w:tc>
        <w:tc>
          <w:tcPr>
            <w:tcW w:w="1846" w:type="dxa"/>
            <w:shd w:val="clear" w:color="auto" w:fill="FFFFFF" w:themeFill="background1"/>
          </w:tcPr>
          <w:p w14:paraId="59A732B9" w14:textId="77777777" w:rsidR="00B46C71" w:rsidRPr="00525577" w:rsidRDefault="00B46C71" w:rsidP="00225DB4">
            <w:pPr>
              <w:rPr>
                <w:rFonts w:cstheme="minorHAnsi"/>
                <w:sz w:val="24"/>
                <w:szCs w:val="24"/>
              </w:rPr>
            </w:pPr>
          </w:p>
        </w:tc>
        <w:tc>
          <w:tcPr>
            <w:tcW w:w="1772" w:type="dxa"/>
            <w:shd w:val="clear" w:color="auto" w:fill="FFFFFF" w:themeFill="background1"/>
          </w:tcPr>
          <w:p w14:paraId="7E51DA1D" w14:textId="77777777" w:rsidR="00B46C71" w:rsidRPr="00525577" w:rsidRDefault="00B46C71" w:rsidP="00225DB4">
            <w:pPr>
              <w:rPr>
                <w:rFonts w:cstheme="minorHAnsi"/>
                <w:sz w:val="24"/>
                <w:szCs w:val="24"/>
              </w:rPr>
            </w:pPr>
          </w:p>
        </w:tc>
        <w:tc>
          <w:tcPr>
            <w:tcW w:w="3557" w:type="dxa"/>
            <w:shd w:val="clear" w:color="auto" w:fill="FFFFFF" w:themeFill="background1"/>
          </w:tcPr>
          <w:p w14:paraId="252994DB" w14:textId="548386F1" w:rsidR="00B46C71" w:rsidRPr="00525577" w:rsidRDefault="00B46C71" w:rsidP="00225DB4">
            <w:pPr>
              <w:jc w:val="center"/>
              <w:rPr>
                <w:rFonts w:cstheme="minorHAnsi"/>
                <w:b/>
                <w:bCs/>
                <w:color w:val="FF0000"/>
                <w:sz w:val="24"/>
                <w:szCs w:val="24"/>
              </w:rPr>
            </w:pPr>
          </w:p>
        </w:tc>
      </w:tr>
      <w:tr w:rsidR="000307F5" w:rsidRPr="00525577" w14:paraId="21CD5F35" w14:textId="77777777" w:rsidTr="00B72B6A">
        <w:tc>
          <w:tcPr>
            <w:tcW w:w="926" w:type="dxa"/>
            <w:shd w:val="clear" w:color="auto" w:fill="FFFFFF" w:themeFill="background1"/>
          </w:tcPr>
          <w:p w14:paraId="680C05D7" w14:textId="0074D7FD" w:rsidR="001E34B5" w:rsidRPr="00525577" w:rsidRDefault="001E34B5" w:rsidP="00225DB4">
            <w:pPr>
              <w:rPr>
                <w:sz w:val="24"/>
                <w:szCs w:val="24"/>
              </w:rPr>
            </w:pPr>
            <w:r w:rsidRPr="00525577">
              <w:rPr>
                <w:sz w:val="24"/>
                <w:szCs w:val="24"/>
              </w:rPr>
              <w:lastRenderedPageBreak/>
              <w:t>12.29</w:t>
            </w:r>
          </w:p>
        </w:tc>
        <w:tc>
          <w:tcPr>
            <w:tcW w:w="3547" w:type="dxa"/>
            <w:shd w:val="clear" w:color="auto" w:fill="FFFFFF" w:themeFill="background1"/>
          </w:tcPr>
          <w:p w14:paraId="3048EABD" w14:textId="6C7F6C62" w:rsidR="001E34B5" w:rsidRPr="00525577" w:rsidRDefault="001E34B5" w:rsidP="00225DB4">
            <w:pPr>
              <w:rPr>
                <w:rFonts w:cstheme="minorHAnsi"/>
                <w:sz w:val="24"/>
                <w:szCs w:val="24"/>
              </w:rPr>
            </w:pPr>
            <w:r w:rsidRPr="00525577">
              <w:rPr>
                <w:rFonts w:cstheme="minorHAnsi"/>
                <w:sz w:val="24"/>
                <w:szCs w:val="24"/>
              </w:rPr>
              <w:t>Emergency access policies or procedures are in place for accessing PHI in emergency situations.</w:t>
            </w:r>
          </w:p>
        </w:tc>
        <w:tc>
          <w:tcPr>
            <w:tcW w:w="2615" w:type="dxa"/>
            <w:vMerge/>
            <w:shd w:val="clear" w:color="auto" w:fill="FFFFFF" w:themeFill="background1"/>
          </w:tcPr>
          <w:p w14:paraId="78622222" w14:textId="77777777" w:rsidR="001E34B5" w:rsidRPr="00525577" w:rsidRDefault="001E34B5" w:rsidP="00225DB4">
            <w:pPr>
              <w:rPr>
                <w:rFonts w:cstheme="minorHAnsi"/>
                <w:sz w:val="24"/>
                <w:szCs w:val="24"/>
              </w:rPr>
            </w:pPr>
          </w:p>
        </w:tc>
        <w:tc>
          <w:tcPr>
            <w:tcW w:w="1846" w:type="dxa"/>
            <w:shd w:val="clear" w:color="auto" w:fill="FFFFFF" w:themeFill="background1"/>
          </w:tcPr>
          <w:p w14:paraId="67C46B82" w14:textId="77777777" w:rsidR="001E34B5" w:rsidRPr="00525577" w:rsidRDefault="001E34B5" w:rsidP="00225DB4">
            <w:pPr>
              <w:rPr>
                <w:rFonts w:cstheme="minorHAnsi"/>
                <w:sz w:val="24"/>
                <w:szCs w:val="24"/>
              </w:rPr>
            </w:pPr>
          </w:p>
        </w:tc>
        <w:tc>
          <w:tcPr>
            <w:tcW w:w="1772" w:type="dxa"/>
            <w:shd w:val="clear" w:color="auto" w:fill="FFFFFF" w:themeFill="background1"/>
          </w:tcPr>
          <w:p w14:paraId="755D4F7D" w14:textId="77777777" w:rsidR="001E34B5" w:rsidRPr="00525577" w:rsidRDefault="001E34B5" w:rsidP="00225DB4">
            <w:pPr>
              <w:rPr>
                <w:rFonts w:cstheme="minorHAnsi"/>
                <w:sz w:val="24"/>
                <w:szCs w:val="24"/>
              </w:rPr>
            </w:pPr>
          </w:p>
        </w:tc>
        <w:tc>
          <w:tcPr>
            <w:tcW w:w="3557" w:type="dxa"/>
            <w:shd w:val="clear" w:color="auto" w:fill="FFFFFF" w:themeFill="background1"/>
          </w:tcPr>
          <w:p w14:paraId="17BF5284" w14:textId="486136E3" w:rsidR="001E34B5" w:rsidRPr="00525577" w:rsidRDefault="001E34B5" w:rsidP="00225DB4">
            <w:pPr>
              <w:jc w:val="center"/>
              <w:rPr>
                <w:rFonts w:cstheme="minorHAnsi"/>
                <w:b/>
                <w:bCs/>
                <w:color w:val="FF0000"/>
                <w:sz w:val="24"/>
                <w:szCs w:val="24"/>
              </w:rPr>
            </w:pPr>
          </w:p>
        </w:tc>
      </w:tr>
      <w:tr w:rsidR="000307F5" w:rsidRPr="00525577" w14:paraId="48FAF250" w14:textId="77777777" w:rsidTr="00B72B6A">
        <w:tc>
          <w:tcPr>
            <w:tcW w:w="926" w:type="dxa"/>
            <w:shd w:val="clear" w:color="auto" w:fill="FFFFFF" w:themeFill="background1"/>
          </w:tcPr>
          <w:p w14:paraId="2A49EEB8" w14:textId="1D8EC26E" w:rsidR="001E34B5" w:rsidRPr="00525577" w:rsidRDefault="001E34B5" w:rsidP="00225DB4">
            <w:pPr>
              <w:rPr>
                <w:sz w:val="24"/>
                <w:szCs w:val="24"/>
              </w:rPr>
            </w:pPr>
            <w:r w:rsidRPr="00525577">
              <w:rPr>
                <w:sz w:val="24"/>
                <w:szCs w:val="24"/>
              </w:rPr>
              <w:t>12.30</w:t>
            </w:r>
          </w:p>
        </w:tc>
        <w:tc>
          <w:tcPr>
            <w:tcW w:w="3547" w:type="dxa"/>
            <w:shd w:val="clear" w:color="auto" w:fill="FFFFFF" w:themeFill="background1"/>
          </w:tcPr>
          <w:p w14:paraId="7157DCD6" w14:textId="49E8C4D9" w:rsidR="001E34B5" w:rsidRPr="00525577" w:rsidRDefault="001E34B5" w:rsidP="00225DB4">
            <w:pPr>
              <w:rPr>
                <w:rFonts w:cstheme="minorHAnsi"/>
                <w:sz w:val="24"/>
                <w:szCs w:val="24"/>
              </w:rPr>
            </w:pPr>
            <w:r w:rsidRPr="00525577">
              <w:rPr>
                <w:rFonts w:cstheme="minorHAnsi"/>
                <w:sz w:val="24"/>
                <w:szCs w:val="24"/>
              </w:rPr>
              <w:t>Workstations are automatically logged off from or locked when unattended.</w:t>
            </w:r>
          </w:p>
        </w:tc>
        <w:tc>
          <w:tcPr>
            <w:tcW w:w="2615" w:type="dxa"/>
            <w:vMerge/>
            <w:shd w:val="clear" w:color="auto" w:fill="FFFFFF" w:themeFill="background1"/>
          </w:tcPr>
          <w:p w14:paraId="52BFEF55" w14:textId="77777777" w:rsidR="001E34B5" w:rsidRPr="00525577" w:rsidRDefault="001E34B5" w:rsidP="00225DB4">
            <w:pPr>
              <w:rPr>
                <w:rFonts w:cstheme="minorHAnsi"/>
                <w:sz w:val="24"/>
                <w:szCs w:val="24"/>
              </w:rPr>
            </w:pPr>
          </w:p>
        </w:tc>
        <w:tc>
          <w:tcPr>
            <w:tcW w:w="1846" w:type="dxa"/>
            <w:shd w:val="clear" w:color="auto" w:fill="FFFFFF" w:themeFill="background1"/>
          </w:tcPr>
          <w:p w14:paraId="284D77CE" w14:textId="77777777" w:rsidR="001E34B5" w:rsidRPr="00525577" w:rsidRDefault="001E34B5" w:rsidP="00225DB4">
            <w:pPr>
              <w:rPr>
                <w:rFonts w:cstheme="minorHAnsi"/>
                <w:sz w:val="24"/>
                <w:szCs w:val="24"/>
              </w:rPr>
            </w:pPr>
          </w:p>
        </w:tc>
        <w:tc>
          <w:tcPr>
            <w:tcW w:w="1772" w:type="dxa"/>
            <w:shd w:val="clear" w:color="auto" w:fill="FFFFFF" w:themeFill="background1"/>
          </w:tcPr>
          <w:p w14:paraId="3EF9F134" w14:textId="77777777" w:rsidR="001E34B5" w:rsidRPr="00525577" w:rsidRDefault="001E34B5" w:rsidP="00225DB4">
            <w:pPr>
              <w:rPr>
                <w:rFonts w:cstheme="minorHAnsi"/>
                <w:sz w:val="24"/>
                <w:szCs w:val="24"/>
              </w:rPr>
            </w:pPr>
          </w:p>
        </w:tc>
        <w:tc>
          <w:tcPr>
            <w:tcW w:w="3557" w:type="dxa"/>
            <w:shd w:val="clear" w:color="auto" w:fill="FFFFFF" w:themeFill="background1"/>
          </w:tcPr>
          <w:p w14:paraId="15A729CA" w14:textId="5BBBA2CB" w:rsidR="001E34B5" w:rsidRPr="00525577" w:rsidRDefault="001E34B5" w:rsidP="00225DB4">
            <w:pPr>
              <w:jc w:val="center"/>
              <w:rPr>
                <w:rFonts w:cstheme="minorHAnsi"/>
                <w:b/>
                <w:bCs/>
                <w:color w:val="FF0000"/>
                <w:sz w:val="24"/>
                <w:szCs w:val="24"/>
              </w:rPr>
            </w:pPr>
          </w:p>
        </w:tc>
      </w:tr>
      <w:tr w:rsidR="000307F5" w:rsidRPr="00525577" w14:paraId="755AD216" w14:textId="77777777" w:rsidTr="00B72B6A">
        <w:tc>
          <w:tcPr>
            <w:tcW w:w="926" w:type="dxa"/>
            <w:shd w:val="clear" w:color="auto" w:fill="FFFFFF" w:themeFill="background1"/>
          </w:tcPr>
          <w:p w14:paraId="76B58C54" w14:textId="08C5AE50" w:rsidR="001E34B5" w:rsidRPr="00525577" w:rsidRDefault="001E34B5" w:rsidP="00225DB4">
            <w:pPr>
              <w:rPr>
                <w:sz w:val="24"/>
                <w:szCs w:val="24"/>
              </w:rPr>
            </w:pPr>
            <w:r w:rsidRPr="00525577">
              <w:rPr>
                <w:sz w:val="24"/>
                <w:szCs w:val="24"/>
              </w:rPr>
              <w:t>12.31</w:t>
            </w:r>
          </w:p>
        </w:tc>
        <w:tc>
          <w:tcPr>
            <w:tcW w:w="3547" w:type="dxa"/>
            <w:shd w:val="clear" w:color="auto" w:fill="FFFFFF" w:themeFill="background1"/>
          </w:tcPr>
          <w:p w14:paraId="2DD564A2" w14:textId="4AAE1CC9" w:rsidR="001E34B5" w:rsidRPr="00525577" w:rsidRDefault="001E34B5" w:rsidP="00225DB4">
            <w:pPr>
              <w:rPr>
                <w:rFonts w:cstheme="minorHAnsi"/>
                <w:sz w:val="24"/>
                <w:szCs w:val="24"/>
              </w:rPr>
            </w:pPr>
            <w:proofErr w:type="gramStart"/>
            <w:r w:rsidRPr="00525577">
              <w:rPr>
                <w:rFonts w:cstheme="minorHAnsi"/>
                <w:sz w:val="24"/>
                <w:szCs w:val="24"/>
              </w:rPr>
              <w:t>The CMHSP</w:t>
            </w:r>
            <w:proofErr w:type="gramEnd"/>
            <w:r w:rsidRPr="00525577">
              <w:rPr>
                <w:rFonts w:cstheme="minorHAnsi"/>
                <w:sz w:val="24"/>
                <w:szCs w:val="24"/>
              </w:rPr>
              <w:t xml:space="preserve"> has methods for auditing logins, files, and PHI access.</w:t>
            </w:r>
          </w:p>
        </w:tc>
        <w:tc>
          <w:tcPr>
            <w:tcW w:w="2615" w:type="dxa"/>
            <w:vMerge/>
            <w:shd w:val="clear" w:color="auto" w:fill="FFFFFF" w:themeFill="background1"/>
          </w:tcPr>
          <w:p w14:paraId="6E8266E7" w14:textId="77777777" w:rsidR="001E34B5" w:rsidRPr="00525577" w:rsidRDefault="001E34B5" w:rsidP="00225DB4">
            <w:pPr>
              <w:rPr>
                <w:rFonts w:cstheme="minorHAnsi"/>
                <w:sz w:val="24"/>
                <w:szCs w:val="24"/>
              </w:rPr>
            </w:pPr>
          </w:p>
        </w:tc>
        <w:tc>
          <w:tcPr>
            <w:tcW w:w="1846" w:type="dxa"/>
            <w:shd w:val="clear" w:color="auto" w:fill="FFFFFF" w:themeFill="background1"/>
          </w:tcPr>
          <w:p w14:paraId="1BB293C5" w14:textId="77777777" w:rsidR="001E34B5" w:rsidRPr="00525577" w:rsidRDefault="001E34B5" w:rsidP="00225DB4">
            <w:pPr>
              <w:rPr>
                <w:rFonts w:cstheme="minorHAnsi"/>
                <w:sz w:val="24"/>
                <w:szCs w:val="24"/>
              </w:rPr>
            </w:pPr>
          </w:p>
        </w:tc>
        <w:tc>
          <w:tcPr>
            <w:tcW w:w="1772" w:type="dxa"/>
            <w:shd w:val="clear" w:color="auto" w:fill="FFFFFF" w:themeFill="background1"/>
          </w:tcPr>
          <w:p w14:paraId="2CDBBD1E" w14:textId="77777777" w:rsidR="001E34B5" w:rsidRPr="00525577" w:rsidRDefault="001E34B5" w:rsidP="00225DB4">
            <w:pPr>
              <w:rPr>
                <w:rFonts w:cstheme="minorHAnsi"/>
                <w:sz w:val="24"/>
                <w:szCs w:val="24"/>
              </w:rPr>
            </w:pPr>
          </w:p>
        </w:tc>
        <w:tc>
          <w:tcPr>
            <w:tcW w:w="3557" w:type="dxa"/>
            <w:shd w:val="clear" w:color="auto" w:fill="FFFFFF" w:themeFill="background1"/>
          </w:tcPr>
          <w:p w14:paraId="04F2E57E" w14:textId="36043D97" w:rsidR="001E34B5" w:rsidRPr="00525577" w:rsidRDefault="001E34B5" w:rsidP="00225DB4">
            <w:pPr>
              <w:jc w:val="center"/>
              <w:rPr>
                <w:rFonts w:cstheme="minorHAnsi"/>
                <w:b/>
                <w:bCs/>
                <w:color w:val="FF0000"/>
                <w:sz w:val="24"/>
                <w:szCs w:val="24"/>
              </w:rPr>
            </w:pPr>
          </w:p>
        </w:tc>
      </w:tr>
      <w:tr w:rsidR="00B72B6A" w:rsidRPr="00525577" w14:paraId="5FA45166" w14:textId="77777777" w:rsidTr="00B72B6A">
        <w:tc>
          <w:tcPr>
            <w:tcW w:w="926" w:type="dxa"/>
            <w:shd w:val="clear" w:color="auto" w:fill="FFFFFF" w:themeFill="background1"/>
          </w:tcPr>
          <w:p w14:paraId="1A35E633" w14:textId="6EFB9A0E" w:rsidR="00B72B6A" w:rsidRPr="00525577" w:rsidRDefault="00B72B6A" w:rsidP="00225DB4">
            <w:pPr>
              <w:rPr>
                <w:sz w:val="24"/>
                <w:szCs w:val="24"/>
              </w:rPr>
            </w:pPr>
            <w:r w:rsidRPr="00525577">
              <w:rPr>
                <w:sz w:val="24"/>
                <w:szCs w:val="24"/>
              </w:rPr>
              <w:t>12.32</w:t>
            </w:r>
          </w:p>
        </w:tc>
        <w:tc>
          <w:tcPr>
            <w:tcW w:w="3547" w:type="dxa"/>
            <w:shd w:val="clear" w:color="auto" w:fill="FFFFFF" w:themeFill="background1"/>
          </w:tcPr>
          <w:p w14:paraId="20CCE5A1" w14:textId="78F84DF2" w:rsidR="00B72B6A" w:rsidRPr="00525577" w:rsidRDefault="00B72B6A" w:rsidP="00225DB4">
            <w:pPr>
              <w:rPr>
                <w:rFonts w:cstheme="minorHAnsi"/>
                <w:sz w:val="24"/>
                <w:szCs w:val="24"/>
              </w:rPr>
            </w:pPr>
            <w:r w:rsidRPr="00525577">
              <w:rPr>
                <w:rFonts w:cstheme="minorHAnsi"/>
                <w:sz w:val="24"/>
                <w:szCs w:val="24"/>
              </w:rPr>
              <w:t>The CMHSP uses Multi-Factor Authentication for all users when they log into the main EMR system.</w:t>
            </w:r>
          </w:p>
        </w:tc>
        <w:tc>
          <w:tcPr>
            <w:tcW w:w="2615" w:type="dxa"/>
            <w:shd w:val="clear" w:color="auto" w:fill="FFFFFF" w:themeFill="background1"/>
          </w:tcPr>
          <w:p w14:paraId="6F9226AE" w14:textId="77777777" w:rsidR="00B72B6A" w:rsidRPr="00525577" w:rsidRDefault="00B72B6A" w:rsidP="00225DB4">
            <w:pPr>
              <w:rPr>
                <w:rFonts w:cstheme="minorHAnsi"/>
                <w:sz w:val="24"/>
                <w:szCs w:val="24"/>
              </w:rPr>
            </w:pPr>
          </w:p>
        </w:tc>
        <w:tc>
          <w:tcPr>
            <w:tcW w:w="1846" w:type="dxa"/>
            <w:shd w:val="clear" w:color="auto" w:fill="FFFFFF" w:themeFill="background1"/>
          </w:tcPr>
          <w:p w14:paraId="54E2CF34" w14:textId="77777777" w:rsidR="00B72B6A" w:rsidRPr="00525577" w:rsidRDefault="00B72B6A" w:rsidP="00225DB4">
            <w:pPr>
              <w:rPr>
                <w:rFonts w:cstheme="minorHAnsi"/>
                <w:sz w:val="24"/>
                <w:szCs w:val="24"/>
              </w:rPr>
            </w:pPr>
          </w:p>
        </w:tc>
        <w:tc>
          <w:tcPr>
            <w:tcW w:w="1772" w:type="dxa"/>
            <w:shd w:val="clear" w:color="auto" w:fill="FFFFFF" w:themeFill="background1"/>
          </w:tcPr>
          <w:p w14:paraId="1C33F09C" w14:textId="77777777" w:rsidR="00B72B6A" w:rsidRPr="00525577" w:rsidRDefault="00B72B6A" w:rsidP="00225DB4">
            <w:pPr>
              <w:rPr>
                <w:rFonts w:cstheme="minorHAnsi"/>
                <w:sz w:val="24"/>
                <w:szCs w:val="24"/>
              </w:rPr>
            </w:pPr>
          </w:p>
        </w:tc>
        <w:tc>
          <w:tcPr>
            <w:tcW w:w="3557" w:type="dxa"/>
            <w:shd w:val="clear" w:color="auto" w:fill="FFFFFF" w:themeFill="background1"/>
          </w:tcPr>
          <w:p w14:paraId="0FA247AC" w14:textId="7B59905D" w:rsidR="00B72B6A" w:rsidRPr="00525577" w:rsidRDefault="00B72B6A" w:rsidP="00225DB4">
            <w:pPr>
              <w:jc w:val="center"/>
              <w:rPr>
                <w:rFonts w:cstheme="minorHAnsi"/>
                <w:b/>
                <w:bCs/>
                <w:color w:val="FF0000"/>
                <w:sz w:val="24"/>
                <w:szCs w:val="24"/>
              </w:rPr>
            </w:pPr>
          </w:p>
        </w:tc>
      </w:tr>
      <w:tr w:rsidR="00B72B6A" w:rsidRPr="00525577" w14:paraId="0D94FE7D" w14:textId="77777777" w:rsidTr="00B72B6A">
        <w:tc>
          <w:tcPr>
            <w:tcW w:w="926" w:type="dxa"/>
            <w:shd w:val="clear" w:color="auto" w:fill="FFFFFF" w:themeFill="background1"/>
          </w:tcPr>
          <w:p w14:paraId="77748139" w14:textId="5214339D" w:rsidR="00B72B6A" w:rsidRPr="00525577" w:rsidRDefault="00B72B6A" w:rsidP="00225DB4">
            <w:pPr>
              <w:rPr>
                <w:sz w:val="24"/>
                <w:szCs w:val="24"/>
              </w:rPr>
            </w:pPr>
            <w:r w:rsidRPr="00525577">
              <w:rPr>
                <w:sz w:val="24"/>
                <w:szCs w:val="24"/>
              </w:rPr>
              <w:t>12.33</w:t>
            </w:r>
          </w:p>
        </w:tc>
        <w:tc>
          <w:tcPr>
            <w:tcW w:w="3547" w:type="dxa"/>
            <w:shd w:val="clear" w:color="auto" w:fill="FFFFFF" w:themeFill="background1"/>
          </w:tcPr>
          <w:p w14:paraId="4B8E6451" w14:textId="410AC8B5" w:rsidR="00B72B6A" w:rsidRPr="00525577" w:rsidRDefault="00B72B6A" w:rsidP="00225DB4">
            <w:pPr>
              <w:rPr>
                <w:rFonts w:cstheme="minorHAnsi"/>
                <w:sz w:val="24"/>
                <w:szCs w:val="24"/>
              </w:rPr>
            </w:pPr>
            <w:r w:rsidRPr="00525577">
              <w:rPr>
                <w:rFonts w:cstheme="minorHAnsi"/>
                <w:sz w:val="24"/>
                <w:szCs w:val="24"/>
              </w:rPr>
              <w:t xml:space="preserve">The CMHSP uses Multi-Factor Authentication for all other (non-EMR) systems if </w:t>
            </w:r>
            <w:proofErr w:type="gramStart"/>
            <w:r w:rsidRPr="00525577">
              <w:rPr>
                <w:rFonts w:cstheme="minorHAnsi"/>
                <w:sz w:val="24"/>
                <w:szCs w:val="24"/>
              </w:rPr>
              <w:t>those system</w:t>
            </w:r>
            <w:proofErr w:type="gramEnd"/>
            <w:r w:rsidRPr="00525577">
              <w:rPr>
                <w:rFonts w:cstheme="minorHAnsi"/>
                <w:sz w:val="24"/>
                <w:szCs w:val="24"/>
              </w:rPr>
              <w:t xml:space="preserve"> are also used to store or transmit PHI (examples: file shares, O365/SharePoint, other cloud-</w:t>
            </w:r>
            <w:r w:rsidRPr="00525577">
              <w:rPr>
                <w:rFonts w:cstheme="minorHAnsi"/>
                <w:sz w:val="24"/>
                <w:szCs w:val="24"/>
              </w:rPr>
              <w:lastRenderedPageBreak/>
              <w:t>based systems, separate applications or modules outside the main EMR system such as billing or contracting software, etc.).</w:t>
            </w:r>
          </w:p>
        </w:tc>
        <w:tc>
          <w:tcPr>
            <w:tcW w:w="2615" w:type="dxa"/>
            <w:shd w:val="clear" w:color="auto" w:fill="FFFFFF" w:themeFill="background1"/>
          </w:tcPr>
          <w:p w14:paraId="30AB4487" w14:textId="77777777" w:rsidR="00B72B6A" w:rsidRPr="00525577" w:rsidRDefault="00B72B6A" w:rsidP="00225DB4">
            <w:pPr>
              <w:rPr>
                <w:rFonts w:cstheme="minorHAnsi"/>
                <w:sz w:val="24"/>
                <w:szCs w:val="24"/>
              </w:rPr>
            </w:pPr>
          </w:p>
        </w:tc>
        <w:tc>
          <w:tcPr>
            <w:tcW w:w="1846" w:type="dxa"/>
            <w:shd w:val="clear" w:color="auto" w:fill="FFFFFF" w:themeFill="background1"/>
          </w:tcPr>
          <w:p w14:paraId="3570C55D" w14:textId="77777777" w:rsidR="00B72B6A" w:rsidRPr="00525577" w:rsidRDefault="00B72B6A" w:rsidP="00225DB4">
            <w:pPr>
              <w:rPr>
                <w:rFonts w:cstheme="minorHAnsi"/>
                <w:sz w:val="24"/>
                <w:szCs w:val="24"/>
              </w:rPr>
            </w:pPr>
          </w:p>
        </w:tc>
        <w:tc>
          <w:tcPr>
            <w:tcW w:w="1772" w:type="dxa"/>
            <w:shd w:val="clear" w:color="auto" w:fill="FFFFFF" w:themeFill="background1"/>
          </w:tcPr>
          <w:p w14:paraId="42503DDA" w14:textId="77777777" w:rsidR="00B72B6A" w:rsidRPr="00525577" w:rsidRDefault="00B72B6A" w:rsidP="00225DB4">
            <w:pPr>
              <w:rPr>
                <w:rFonts w:cstheme="minorHAnsi"/>
                <w:sz w:val="24"/>
                <w:szCs w:val="24"/>
              </w:rPr>
            </w:pPr>
          </w:p>
        </w:tc>
        <w:tc>
          <w:tcPr>
            <w:tcW w:w="3557" w:type="dxa"/>
            <w:shd w:val="clear" w:color="auto" w:fill="FFFFFF" w:themeFill="background1"/>
          </w:tcPr>
          <w:p w14:paraId="1B61AF76" w14:textId="2841B215" w:rsidR="00B72B6A" w:rsidRPr="00525577" w:rsidRDefault="00B72B6A" w:rsidP="00225DB4">
            <w:pPr>
              <w:jc w:val="center"/>
              <w:rPr>
                <w:rFonts w:cstheme="minorHAnsi"/>
                <w:b/>
                <w:bCs/>
                <w:color w:val="FF0000"/>
                <w:sz w:val="24"/>
                <w:szCs w:val="24"/>
              </w:rPr>
            </w:pPr>
          </w:p>
        </w:tc>
      </w:tr>
      <w:tr w:rsidR="001E34B5" w:rsidRPr="00525577" w14:paraId="7F0D8186" w14:textId="77777777" w:rsidTr="00566FE0">
        <w:tc>
          <w:tcPr>
            <w:tcW w:w="14263" w:type="dxa"/>
            <w:gridSpan w:val="6"/>
          </w:tcPr>
          <w:p w14:paraId="658A207E" w14:textId="5FB7C65C" w:rsidR="001E34B5" w:rsidRPr="00525577" w:rsidRDefault="00566FE0" w:rsidP="00225DB4">
            <w:pPr>
              <w:rPr>
                <w:b/>
                <w:sz w:val="24"/>
                <w:szCs w:val="24"/>
              </w:rPr>
            </w:pPr>
            <w:r w:rsidRPr="00525577">
              <w:rPr>
                <w:b/>
                <w:sz w:val="24"/>
                <w:szCs w:val="24"/>
              </w:rPr>
              <w:t xml:space="preserve">Technical Safeguards - </w:t>
            </w:r>
            <w:r w:rsidR="001E34B5" w:rsidRPr="00525577">
              <w:rPr>
                <w:b/>
                <w:sz w:val="24"/>
                <w:szCs w:val="24"/>
              </w:rPr>
              <w:t xml:space="preserve">Encryption and Integrity </w:t>
            </w:r>
          </w:p>
        </w:tc>
      </w:tr>
      <w:tr w:rsidR="000307F5" w:rsidRPr="00525577" w14:paraId="40406B3C" w14:textId="77777777" w:rsidTr="00B72B6A">
        <w:tc>
          <w:tcPr>
            <w:tcW w:w="926" w:type="dxa"/>
            <w:shd w:val="clear" w:color="auto" w:fill="FFFFFF" w:themeFill="background1"/>
          </w:tcPr>
          <w:p w14:paraId="35C9EF60" w14:textId="2B31B28E" w:rsidR="001E34B5" w:rsidRPr="00525577" w:rsidRDefault="001E34B5" w:rsidP="00225DB4">
            <w:pPr>
              <w:rPr>
                <w:sz w:val="24"/>
                <w:szCs w:val="24"/>
              </w:rPr>
            </w:pPr>
            <w:r w:rsidRPr="00525577">
              <w:rPr>
                <w:sz w:val="24"/>
                <w:szCs w:val="24"/>
              </w:rPr>
              <w:t>12.3</w:t>
            </w:r>
            <w:r w:rsidR="00B72B6A" w:rsidRPr="00525577">
              <w:rPr>
                <w:sz w:val="24"/>
                <w:szCs w:val="24"/>
              </w:rPr>
              <w:t>4</w:t>
            </w:r>
          </w:p>
        </w:tc>
        <w:tc>
          <w:tcPr>
            <w:tcW w:w="3547" w:type="dxa"/>
            <w:shd w:val="clear" w:color="auto" w:fill="FFFFFF" w:themeFill="background1"/>
          </w:tcPr>
          <w:p w14:paraId="1EF10FDE" w14:textId="02D7A13A" w:rsidR="001E34B5" w:rsidRPr="00525577" w:rsidRDefault="001E34B5" w:rsidP="00225DB4">
            <w:pPr>
              <w:rPr>
                <w:rFonts w:cstheme="minorHAnsi"/>
                <w:sz w:val="24"/>
                <w:szCs w:val="24"/>
              </w:rPr>
            </w:pPr>
            <w:r w:rsidRPr="00525577">
              <w:rPr>
                <w:rFonts w:cstheme="minorHAnsi"/>
                <w:sz w:val="24"/>
                <w:szCs w:val="24"/>
              </w:rPr>
              <w:t>PHI is encrypted when transmitted over a public electronic network. (ex. email, Internet, VPN)</w:t>
            </w:r>
          </w:p>
        </w:tc>
        <w:tc>
          <w:tcPr>
            <w:tcW w:w="2615" w:type="dxa"/>
            <w:shd w:val="clear" w:color="auto" w:fill="FFFFFF" w:themeFill="background1"/>
          </w:tcPr>
          <w:p w14:paraId="06AA0292" w14:textId="28C7B1CB" w:rsidR="001E34B5" w:rsidRPr="00525577" w:rsidRDefault="001E34B5" w:rsidP="00225DB4">
            <w:pPr>
              <w:rPr>
                <w:color w:val="000000" w:themeColor="text1"/>
                <w:sz w:val="24"/>
                <w:szCs w:val="24"/>
              </w:rPr>
            </w:pPr>
            <w:r w:rsidRPr="00525577">
              <w:rPr>
                <w:color w:val="000000" w:themeColor="text1"/>
                <w:sz w:val="24"/>
                <w:szCs w:val="24"/>
              </w:rPr>
              <w:t xml:space="preserve">HIPAA Security and Privacy, 45 CFR Parts 160 &amp; 164 Subparts A, B, C, D, </w:t>
            </w:r>
            <w:proofErr w:type="gramStart"/>
            <w:r w:rsidRPr="00525577">
              <w:rPr>
                <w:color w:val="000000" w:themeColor="text1"/>
                <w:sz w:val="24"/>
                <w:szCs w:val="24"/>
              </w:rPr>
              <w:t>E;</w:t>
            </w:r>
            <w:proofErr w:type="gramEnd"/>
            <w:r w:rsidRPr="00525577">
              <w:rPr>
                <w:color w:val="000000" w:themeColor="text1"/>
                <w:sz w:val="24"/>
                <w:szCs w:val="24"/>
              </w:rPr>
              <w:t xml:space="preserve"> </w:t>
            </w:r>
          </w:p>
          <w:p w14:paraId="58780EC6" w14:textId="1BB949A9" w:rsidR="001E34B5" w:rsidRPr="00525577" w:rsidRDefault="001E34B5" w:rsidP="00225DB4">
            <w:pPr>
              <w:rPr>
                <w:color w:val="000000" w:themeColor="text1"/>
                <w:sz w:val="24"/>
                <w:szCs w:val="24"/>
              </w:rPr>
            </w:pPr>
          </w:p>
          <w:p w14:paraId="20FA70E5" w14:textId="7551D8D5" w:rsidR="001E34B5" w:rsidRPr="00525577" w:rsidRDefault="001E34B5" w:rsidP="007877AE">
            <w:pPr>
              <w:rPr>
                <w:rFonts w:cstheme="minorHAnsi"/>
                <w:sz w:val="24"/>
                <w:szCs w:val="24"/>
              </w:rPr>
            </w:pPr>
            <w:r w:rsidRPr="00525577">
              <w:rPr>
                <w:color w:val="000000" w:themeColor="text1"/>
                <w:sz w:val="24"/>
                <w:szCs w:val="24"/>
              </w:rPr>
              <w:t xml:space="preserve">LRE/CMHSP Participant contract delegation grid; Commonly accepted IT practices </w:t>
            </w:r>
          </w:p>
        </w:tc>
        <w:tc>
          <w:tcPr>
            <w:tcW w:w="1846" w:type="dxa"/>
            <w:shd w:val="clear" w:color="auto" w:fill="FFFFFF" w:themeFill="background1"/>
          </w:tcPr>
          <w:p w14:paraId="42C9D257" w14:textId="77777777" w:rsidR="001E34B5" w:rsidRPr="00525577" w:rsidRDefault="001E34B5" w:rsidP="00225DB4">
            <w:pPr>
              <w:rPr>
                <w:rFonts w:cstheme="minorHAnsi"/>
                <w:sz w:val="24"/>
                <w:szCs w:val="24"/>
              </w:rPr>
            </w:pPr>
          </w:p>
        </w:tc>
        <w:tc>
          <w:tcPr>
            <w:tcW w:w="1772" w:type="dxa"/>
            <w:shd w:val="clear" w:color="auto" w:fill="FFFFFF" w:themeFill="background1"/>
          </w:tcPr>
          <w:p w14:paraId="53972294" w14:textId="77777777" w:rsidR="001E34B5" w:rsidRPr="00525577" w:rsidRDefault="001E34B5" w:rsidP="00225DB4">
            <w:pPr>
              <w:rPr>
                <w:rFonts w:cstheme="minorHAnsi"/>
                <w:sz w:val="24"/>
                <w:szCs w:val="24"/>
              </w:rPr>
            </w:pPr>
          </w:p>
        </w:tc>
        <w:tc>
          <w:tcPr>
            <w:tcW w:w="3557" w:type="dxa"/>
            <w:shd w:val="clear" w:color="auto" w:fill="FFFFFF" w:themeFill="background1"/>
          </w:tcPr>
          <w:p w14:paraId="681672D6" w14:textId="35026301" w:rsidR="001E34B5" w:rsidRPr="00525577" w:rsidRDefault="001E34B5" w:rsidP="00225DB4">
            <w:pPr>
              <w:jc w:val="center"/>
              <w:rPr>
                <w:rFonts w:cstheme="minorHAnsi"/>
                <w:b/>
                <w:bCs/>
                <w:color w:val="FF0000"/>
                <w:sz w:val="24"/>
                <w:szCs w:val="24"/>
              </w:rPr>
            </w:pPr>
          </w:p>
        </w:tc>
      </w:tr>
      <w:tr w:rsidR="000307F5" w:rsidRPr="00525577" w14:paraId="11AAE8EB" w14:textId="77777777" w:rsidTr="00B72B6A">
        <w:tc>
          <w:tcPr>
            <w:tcW w:w="926" w:type="dxa"/>
            <w:shd w:val="clear" w:color="auto" w:fill="FFFFFF" w:themeFill="background1"/>
          </w:tcPr>
          <w:p w14:paraId="0FB745CE" w14:textId="11B077AA" w:rsidR="000307F5" w:rsidRPr="00525577" w:rsidRDefault="000307F5" w:rsidP="000307F5">
            <w:pPr>
              <w:rPr>
                <w:sz w:val="24"/>
                <w:szCs w:val="24"/>
              </w:rPr>
            </w:pPr>
            <w:r w:rsidRPr="00525577">
              <w:rPr>
                <w:sz w:val="24"/>
                <w:szCs w:val="24"/>
              </w:rPr>
              <w:t>12.3</w:t>
            </w:r>
            <w:r w:rsidR="00B72B6A" w:rsidRPr="00525577">
              <w:rPr>
                <w:sz w:val="24"/>
                <w:szCs w:val="24"/>
              </w:rPr>
              <w:t>5</w:t>
            </w:r>
          </w:p>
        </w:tc>
        <w:tc>
          <w:tcPr>
            <w:tcW w:w="3547" w:type="dxa"/>
            <w:shd w:val="clear" w:color="auto" w:fill="FFFFFF" w:themeFill="background1"/>
          </w:tcPr>
          <w:p w14:paraId="04FDA50A" w14:textId="42246745" w:rsidR="000307F5" w:rsidRPr="00525577" w:rsidRDefault="000307F5" w:rsidP="007877AE">
            <w:pPr>
              <w:rPr>
                <w:rFonts w:cstheme="minorHAnsi"/>
                <w:sz w:val="24"/>
                <w:szCs w:val="24"/>
              </w:rPr>
            </w:pPr>
            <w:r w:rsidRPr="00525577">
              <w:rPr>
                <w:rFonts w:cstheme="minorHAnsi"/>
                <w:color w:val="000000" w:themeColor="text1"/>
                <w:sz w:val="24"/>
                <w:szCs w:val="24"/>
              </w:rPr>
              <w:t>The CMHSP uses email encryption when sending PHI via email</w:t>
            </w:r>
            <w:r w:rsidR="007877AE" w:rsidRPr="00525577">
              <w:rPr>
                <w:rFonts w:cstheme="minorHAnsi"/>
                <w:color w:val="000000" w:themeColor="text1"/>
                <w:sz w:val="24"/>
                <w:szCs w:val="24"/>
              </w:rPr>
              <w:t>.</w:t>
            </w:r>
          </w:p>
        </w:tc>
        <w:tc>
          <w:tcPr>
            <w:tcW w:w="2615" w:type="dxa"/>
            <w:shd w:val="clear" w:color="auto" w:fill="FFFFFF" w:themeFill="background1"/>
          </w:tcPr>
          <w:p w14:paraId="11B122C3" w14:textId="77777777" w:rsidR="000307F5" w:rsidRPr="00525577" w:rsidRDefault="000307F5" w:rsidP="000307F5">
            <w:pPr>
              <w:rPr>
                <w:rFonts w:cstheme="minorHAnsi"/>
                <w:sz w:val="24"/>
                <w:szCs w:val="24"/>
              </w:rPr>
            </w:pPr>
          </w:p>
        </w:tc>
        <w:tc>
          <w:tcPr>
            <w:tcW w:w="1846" w:type="dxa"/>
            <w:shd w:val="clear" w:color="auto" w:fill="FFFFFF" w:themeFill="background1"/>
          </w:tcPr>
          <w:p w14:paraId="538F5A2C" w14:textId="77777777" w:rsidR="000307F5" w:rsidRPr="00525577" w:rsidRDefault="000307F5" w:rsidP="000307F5">
            <w:pPr>
              <w:rPr>
                <w:rFonts w:cstheme="minorHAnsi"/>
                <w:sz w:val="24"/>
                <w:szCs w:val="24"/>
              </w:rPr>
            </w:pPr>
          </w:p>
        </w:tc>
        <w:tc>
          <w:tcPr>
            <w:tcW w:w="1772" w:type="dxa"/>
            <w:shd w:val="clear" w:color="auto" w:fill="FFFFFF" w:themeFill="background1"/>
          </w:tcPr>
          <w:p w14:paraId="3D8320D4" w14:textId="77777777" w:rsidR="000307F5" w:rsidRPr="00525577" w:rsidRDefault="000307F5" w:rsidP="000307F5">
            <w:pPr>
              <w:rPr>
                <w:rFonts w:cstheme="minorHAnsi"/>
                <w:sz w:val="24"/>
                <w:szCs w:val="24"/>
              </w:rPr>
            </w:pPr>
          </w:p>
        </w:tc>
        <w:tc>
          <w:tcPr>
            <w:tcW w:w="3557" w:type="dxa"/>
            <w:shd w:val="clear" w:color="auto" w:fill="FFFFFF" w:themeFill="background1"/>
          </w:tcPr>
          <w:p w14:paraId="6A8F2C7F" w14:textId="1783C3FC" w:rsidR="000307F5" w:rsidRPr="00525577" w:rsidRDefault="000307F5" w:rsidP="000307F5">
            <w:pPr>
              <w:jc w:val="center"/>
              <w:rPr>
                <w:rFonts w:cstheme="minorHAnsi"/>
                <w:b/>
                <w:bCs/>
                <w:color w:val="FF0000"/>
                <w:sz w:val="24"/>
                <w:szCs w:val="24"/>
              </w:rPr>
            </w:pPr>
          </w:p>
        </w:tc>
      </w:tr>
      <w:tr w:rsidR="000307F5" w:rsidRPr="00525577" w14:paraId="64FB42AA" w14:textId="77777777" w:rsidTr="00B72B6A">
        <w:tc>
          <w:tcPr>
            <w:tcW w:w="926" w:type="dxa"/>
            <w:shd w:val="clear" w:color="auto" w:fill="FFFFFF" w:themeFill="background1"/>
          </w:tcPr>
          <w:p w14:paraId="5D6527AF" w14:textId="37878E6F" w:rsidR="000307F5" w:rsidRPr="00525577" w:rsidRDefault="000307F5" w:rsidP="000307F5">
            <w:pPr>
              <w:rPr>
                <w:sz w:val="24"/>
                <w:szCs w:val="24"/>
              </w:rPr>
            </w:pPr>
            <w:r w:rsidRPr="00525577">
              <w:rPr>
                <w:sz w:val="24"/>
                <w:szCs w:val="24"/>
              </w:rPr>
              <w:t>12.3</w:t>
            </w:r>
            <w:r w:rsidR="00B72B6A" w:rsidRPr="00525577">
              <w:rPr>
                <w:sz w:val="24"/>
                <w:szCs w:val="24"/>
              </w:rPr>
              <w:t>6</w:t>
            </w:r>
          </w:p>
        </w:tc>
        <w:tc>
          <w:tcPr>
            <w:tcW w:w="3547" w:type="dxa"/>
            <w:shd w:val="clear" w:color="auto" w:fill="FFFFFF" w:themeFill="background1"/>
          </w:tcPr>
          <w:p w14:paraId="00ECFFC6" w14:textId="77777777" w:rsidR="000307F5" w:rsidRPr="00525577" w:rsidRDefault="000307F5" w:rsidP="000307F5">
            <w:pPr>
              <w:rPr>
                <w:rFonts w:cstheme="minorHAnsi"/>
                <w:color w:val="000000"/>
                <w:sz w:val="24"/>
                <w:szCs w:val="24"/>
              </w:rPr>
            </w:pPr>
            <w:r w:rsidRPr="00525577">
              <w:rPr>
                <w:rFonts w:cstheme="minorHAnsi"/>
                <w:color w:val="000000"/>
                <w:sz w:val="24"/>
                <w:szCs w:val="24"/>
              </w:rPr>
              <w:t>End user devices (PCs, laptops, phones) storing PHI are encrypted.</w:t>
            </w:r>
          </w:p>
          <w:p w14:paraId="0CB05D4A" w14:textId="77777777" w:rsidR="000307F5" w:rsidRPr="00525577" w:rsidRDefault="000307F5" w:rsidP="000307F5">
            <w:pPr>
              <w:rPr>
                <w:rFonts w:cstheme="minorHAnsi"/>
                <w:sz w:val="24"/>
                <w:szCs w:val="24"/>
              </w:rPr>
            </w:pPr>
          </w:p>
        </w:tc>
        <w:tc>
          <w:tcPr>
            <w:tcW w:w="2615" w:type="dxa"/>
            <w:vMerge w:val="restart"/>
            <w:shd w:val="clear" w:color="auto" w:fill="FFFFFF" w:themeFill="background1"/>
          </w:tcPr>
          <w:p w14:paraId="5C20A118" w14:textId="226176A2" w:rsidR="000307F5" w:rsidRPr="00525577" w:rsidRDefault="000307F5" w:rsidP="000307F5">
            <w:pPr>
              <w:rPr>
                <w:color w:val="000000" w:themeColor="text1"/>
                <w:sz w:val="24"/>
                <w:szCs w:val="24"/>
              </w:rPr>
            </w:pPr>
            <w:r w:rsidRPr="00525577">
              <w:rPr>
                <w:color w:val="000000" w:themeColor="text1"/>
                <w:sz w:val="24"/>
                <w:szCs w:val="24"/>
              </w:rPr>
              <w:lastRenderedPageBreak/>
              <w:t xml:space="preserve">HIPAA Security and Privacy, 45 CFR Parts </w:t>
            </w:r>
            <w:r w:rsidRPr="00525577">
              <w:rPr>
                <w:color w:val="000000" w:themeColor="text1"/>
                <w:sz w:val="24"/>
                <w:szCs w:val="24"/>
              </w:rPr>
              <w:lastRenderedPageBreak/>
              <w:t xml:space="preserve">160 &amp; 164 Subparts A, B, C, D, </w:t>
            </w:r>
            <w:proofErr w:type="gramStart"/>
            <w:r w:rsidRPr="00525577">
              <w:rPr>
                <w:color w:val="000000" w:themeColor="text1"/>
                <w:sz w:val="24"/>
                <w:szCs w:val="24"/>
              </w:rPr>
              <w:t>E;</w:t>
            </w:r>
            <w:proofErr w:type="gramEnd"/>
            <w:r w:rsidRPr="00525577">
              <w:rPr>
                <w:color w:val="000000" w:themeColor="text1"/>
                <w:sz w:val="24"/>
                <w:szCs w:val="24"/>
              </w:rPr>
              <w:t xml:space="preserve"> </w:t>
            </w:r>
          </w:p>
          <w:p w14:paraId="6AD0F9BF" w14:textId="77777777" w:rsidR="000307F5" w:rsidRPr="00525577" w:rsidRDefault="000307F5" w:rsidP="000307F5">
            <w:pPr>
              <w:rPr>
                <w:color w:val="000000" w:themeColor="text1"/>
                <w:sz w:val="24"/>
                <w:szCs w:val="24"/>
              </w:rPr>
            </w:pPr>
          </w:p>
          <w:p w14:paraId="6E0A0108" w14:textId="3F436DEB" w:rsidR="000307F5" w:rsidRPr="00525577" w:rsidRDefault="000307F5" w:rsidP="000307F5">
            <w:pPr>
              <w:rPr>
                <w:color w:val="000000"/>
                <w:sz w:val="24"/>
                <w:szCs w:val="24"/>
              </w:rPr>
            </w:pPr>
            <w:r w:rsidRPr="00525577">
              <w:rPr>
                <w:color w:val="000000" w:themeColor="text1"/>
                <w:sz w:val="24"/>
                <w:szCs w:val="24"/>
              </w:rPr>
              <w:t xml:space="preserve">LRE/CMHSP Participant contract delegation grid; Commonly accepted IT practices </w:t>
            </w:r>
          </w:p>
          <w:p w14:paraId="64F784E5" w14:textId="77777777" w:rsidR="000307F5" w:rsidRPr="00525577" w:rsidRDefault="000307F5" w:rsidP="000307F5">
            <w:pPr>
              <w:rPr>
                <w:rFonts w:cstheme="minorHAnsi"/>
                <w:sz w:val="24"/>
                <w:szCs w:val="24"/>
              </w:rPr>
            </w:pPr>
          </w:p>
        </w:tc>
        <w:tc>
          <w:tcPr>
            <w:tcW w:w="1846" w:type="dxa"/>
            <w:shd w:val="clear" w:color="auto" w:fill="FFFFFF" w:themeFill="background1"/>
          </w:tcPr>
          <w:p w14:paraId="06B23B0F" w14:textId="77777777" w:rsidR="000307F5" w:rsidRPr="00525577" w:rsidRDefault="000307F5" w:rsidP="000307F5">
            <w:pPr>
              <w:rPr>
                <w:rFonts w:cstheme="minorHAnsi"/>
                <w:sz w:val="24"/>
                <w:szCs w:val="24"/>
              </w:rPr>
            </w:pPr>
          </w:p>
        </w:tc>
        <w:tc>
          <w:tcPr>
            <w:tcW w:w="1772" w:type="dxa"/>
            <w:shd w:val="clear" w:color="auto" w:fill="FFFFFF" w:themeFill="background1"/>
          </w:tcPr>
          <w:p w14:paraId="7E905735" w14:textId="77777777" w:rsidR="000307F5" w:rsidRPr="00525577" w:rsidRDefault="000307F5" w:rsidP="000307F5">
            <w:pPr>
              <w:rPr>
                <w:rFonts w:cstheme="minorHAnsi"/>
                <w:sz w:val="24"/>
                <w:szCs w:val="24"/>
              </w:rPr>
            </w:pPr>
          </w:p>
        </w:tc>
        <w:tc>
          <w:tcPr>
            <w:tcW w:w="3557" w:type="dxa"/>
            <w:shd w:val="clear" w:color="auto" w:fill="FFFFFF" w:themeFill="background1"/>
          </w:tcPr>
          <w:p w14:paraId="026E8544" w14:textId="2A4E4397" w:rsidR="000307F5" w:rsidRPr="00525577" w:rsidRDefault="000307F5" w:rsidP="000307F5">
            <w:pPr>
              <w:jc w:val="center"/>
              <w:rPr>
                <w:rFonts w:cstheme="minorHAnsi"/>
                <w:b/>
                <w:bCs/>
                <w:color w:val="FF0000"/>
                <w:sz w:val="24"/>
                <w:szCs w:val="24"/>
              </w:rPr>
            </w:pPr>
          </w:p>
        </w:tc>
      </w:tr>
      <w:tr w:rsidR="000307F5" w:rsidRPr="00525577" w14:paraId="1F7BC155" w14:textId="77777777" w:rsidTr="00B72B6A">
        <w:tc>
          <w:tcPr>
            <w:tcW w:w="926" w:type="dxa"/>
            <w:shd w:val="clear" w:color="auto" w:fill="FFFFFF" w:themeFill="background1"/>
          </w:tcPr>
          <w:p w14:paraId="6B4EC4D9" w14:textId="7C2E6A65" w:rsidR="000307F5" w:rsidRPr="00525577" w:rsidRDefault="000307F5" w:rsidP="000307F5">
            <w:pPr>
              <w:rPr>
                <w:sz w:val="24"/>
                <w:szCs w:val="24"/>
              </w:rPr>
            </w:pPr>
            <w:r w:rsidRPr="00525577">
              <w:rPr>
                <w:sz w:val="24"/>
                <w:szCs w:val="24"/>
              </w:rPr>
              <w:t>12.3</w:t>
            </w:r>
            <w:r w:rsidR="00B72B6A" w:rsidRPr="00525577">
              <w:rPr>
                <w:sz w:val="24"/>
                <w:szCs w:val="24"/>
              </w:rPr>
              <w:t>7</w:t>
            </w:r>
          </w:p>
        </w:tc>
        <w:tc>
          <w:tcPr>
            <w:tcW w:w="3547" w:type="dxa"/>
            <w:shd w:val="clear" w:color="auto" w:fill="FFFFFF" w:themeFill="background1"/>
          </w:tcPr>
          <w:p w14:paraId="47E2B955" w14:textId="53857138" w:rsidR="000307F5" w:rsidRPr="00525577" w:rsidRDefault="000307F5" w:rsidP="000307F5">
            <w:pPr>
              <w:rPr>
                <w:rFonts w:cstheme="minorHAnsi"/>
                <w:color w:val="000000"/>
                <w:sz w:val="24"/>
                <w:szCs w:val="24"/>
              </w:rPr>
            </w:pPr>
            <w:r w:rsidRPr="00525577">
              <w:rPr>
                <w:rFonts w:cstheme="minorHAnsi"/>
                <w:color w:val="000000"/>
                <w:sz w:val="24"/>
                <w:szCs w:val="24"/>
              </w:rPr>
              <w:t>Systems storing PHI are encrypted or have reasonable physical security limiting direct physical access to PHI to authorized individuals only.</w:t>
            </w:r>
          </w:p>
        </w:tc>
        <w:tc>
          <w:tcPr>
            <w:tcW w:w="2615" w:type="dxa"/>
            <w:vMerge/>
            <w:shd w:val="clear" w:color="auto" w:fill="FFFFFF" w:themeFill="background1"/>
          </w:tcPr>
          <w:p w14:paraId="5FECDF7F"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1D470160" w14:textId="77777777" w:rsidR="000307F5" w:rsidRPr="00525577" w:rsidRDefault="000307F5" w:rsidP="000307F5">
            <w:pPr>
              <w:rPr>
                <w:rFonts w:cstheme="minorHAnsi"/>
                <w:sz w:val="24"/>
                <w:szCs w:val="24"/>
              </w:rPr>
            </w:pPr>
          </w:p>
        </w:tc>
        <w:tc>
          <w:tcPr>
            <w:tcW w:w="1772" w:type="dxa"/>
            <w:shd w:val="clear" w:color="auto" w:fill="FFFFFF" w:themeFill="background1"/>
          </w:tcPr>
          <w:p w14:paraId="480C8B7A" w14:textId="77777777" w:rsidR="000307F5" w:rsidRPr="00525577" w:rsidRDefault="000307F5" w:rsidP="000307F5">
            <w:pPr>
              <w:rPr>
                <w:rFonts w:cstheme="minorHAnsi"/>
                <w:sz w:val="24"/>
                <w:szCs w:val="24"/>
              </w:rPr>
            </w:pPr>
          </w:p>
        </w:tc>
        <w:tc>
          <w:tcPr>
            <w:tcW w:w="3557" w:type="dxa"/>
            <w:shd w:val="clear" w:color="auto" w:fill="FFFFFF" w:themeFill="background1"/>
          </w:tcPr>
          <w:p w14:paraId="244FABBA" w14:textId="19854FAC" w:rsidR="000307F5" w:rsidRPr="00525577" w:rsidRDefault="000307F5" w:rsidP="000307F5">
            <w:pPr>
              <w:jc w:val="center"/>
              <w:rPr>
                <w:rFonts w:cstheme="minorHAnsi"/>
                <w:b/>
                <w:bCs/>
                <w:color w:val="FF0000"/>
                <w:sz w:val="24"/>
                <w:szCs w:val="24"/>
              </w:rPr>
            </w:pPr>
          </w:p>
        </w:tc>
      </w:tr>
      <w:tr w:rsidR="000307F5" w:rsidRPr="00525577" w14:paraId="383B82A5" w14:textId="77777777" w:rsidTr="00B72B6A">
        <w:tc>
          <w:tcPr>
            <w:tcW w:w="926" w:type="dxa"/>
            <w:shd w:val="clear" w:color="auto" w:fill="FFFFFF" w:themeFill="background1"/>
          </w:tcPr>
          <w:p w14:paraId="5D8548B4" w14:textId="731C4BEC" w:rsidR="000307F5" w:rsidRPr="00525577" w:rsidRDefault="000307F5" w:rsidP="000307F5">
            <w:pPr>
              <w:rPr>
                <w:sz w:val="24"/>
                <w:szCs w:val="24"/>
              </w:rPr>
            </w:pPr>
            <w:r w:rsidRPr="00525577">
              <w:rPr>
                <w:sz w:val="24"/>
                <w:szCs w:val="24"/>
              </w:rPr>
              <w:t>12.3</w:t>
            </w:r>
            <w:r w:rsidR="00B72B6A" w:rsidRPr="00525577">
              <w:rPr>
                <w:sz w:val="24"/>
                <w:szCs w:val="24"/>
              </w:rPr>
              <w:t>8</w:t>
            </w:r>
          </w:p>
        </w:tc>
        <w:tc>
          <w:tcPr>
            <w:tcW w:w="3547" w:type="dxa"/>
            <w:shd w:val="clear" w:color="auto" w:fill="FFFFFF" w:themeFill="background1"/>
          </w:tcPr>
          <w:p w14:paraId="5D42FCBA" w14:textId="1D402AAC" w:rsidR="000307F5" w:rsidRPr="00525577" w:rsidRDefault="000307F5" w:rsidP="000307F5">
            <w:pPr>
              <w:rPr>
                <w:rFonts w:cstheme="minorHAnsi"/>
                <w:color w:val="000000"/>
                <w:sz w:val="24"/>
                <w:szCs w:val="24"/>
              </w:rPr>
            </w:pPr>
            <w:r w:rsidRPr="00525577">
              <w:rPr>
                <w:rFonts w:cstheme="minorHAnsi"/>
                <w:color w:val="000000"/>
                <w:sz w:val="24"/>
                <w:szCs w:val="24"/>
              </w:rPr>
              <w:t>A mobile device management system is used to enforce security, access control, compliance and encryption rules to mobile devices accessing PHI.</w:t>
            </w:r>
          </w:p>
        </w:tc>
        <w:tc>
          <w:tcPr>
            <w:tcW w:w="2615" w:type="dxa"/>
            <w:vMerge/>
            <w:shd w:val="clear" w:color="auto" w:fill="FFFFFF" w:themeFill="background1"/>
          </w:tcPr>
          <w:p w14:paraId="6DE65584"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386BA303" w14:textId="77777777" w:rsidR="000307F5" w:rsidRPr="00525577" w:rsidRDefault="000307F5" w:rsidP="000307F5">
            <w:pPr>
              <w:rPr>
                <w:rFonts w:cstheme="minorHAnsi"/>
                <w:sz w:val="24"/>
                <w:szCs w:val="24"/>
              </w:rPr>
            </w:pPr>
          </w:p>
        </w:tc>
        <w:tc>
          <w:tcPr>
            <w:tcW w:w="1772" w:type="dxa"/>
            <w:shd w:val="clear" w:color="auto" w:fill="FFFFFF" w:themeFill="background1"/>
          </w:tcPr>
          <w:p w14:paraId="14597FE3" w14:textId="77777777" w:rsidR="000307F5" w:rsidRPr="00525577" w:rsidRDefault="000307F5" w:rsidP="000307F5">
            <w:pPr>
              <w:rPr>
                <w:rFonts w:cstheme="minorHAnsi"/>
                <w:sz w:val="24"/>
                <w:szCs w:val="24"/>
              </w:rPr>
            </w:pPr>
          </w:p>
        </w:tc>
        <w:tc>
          <w:tcPr>
            <w:tcW w:w="3557" w:type="dxa"/>
            <w:shd w:val="clear" w:color="auto" w:fill="FFFFFF" w:themeFill="background1"/>
          </w:tcPr>
          <w:p w14:paraId="488BDA1E" w14:textId="46AA9790" w:rsidR="000307F5" w:rsidRPr="00525577" w:rsidRDefault="000307F5" w:rsidP="00B72B6A">
            <w:pPr>
              <w:jc w:val="center"/>
              <w:rPr>
                <w:rFonts w:cstheme="minorHAnsi"/>
                <w:b/>
                <w:bCs/>
                <w:sz w:val="24"/>
                <w:szCs w:val="24"/>
              </w:rPr>
            </w:pPr>
          </w:p>
        </w:tc>
      </w:tr>
      <w:tr w:rsidR="000307F5" w:rsidRPr="00525577" w14:paraId="6B7679AD" w14:textId="77777777" w:rsidTr="00B72B6A">
        <w:tc>
          <w:tcPr>
            <w:tcW w:w="926" w:type="dxa"/>
            <w:shd w:val="clear" w:color="auto" w:fill="FFFFFF" w:themeFill="background1"/>
          </w:tcPr>
          <w:p w14:paraId="4F85EE37" w14:textId="449B2F93" w:rsidR="000307F5" w:rsidRPr="00525577" w:rsidRDefault="000307F5" w:rsidP="000307F5">
            <w:pPr>
              <w:rPr>
                <w:sz w:val="24"/>
                <w:szCs w:val="24"/>
              </w:rPr>
            </w:pPr>
            <w:r w:rsidRPr="00525577">
              <w:rPr>
                <w:sz w:val="24"/>
                <w:szCs w:val="24"/>
              </w:rPr>
              <w:t>12.3</w:t>
            </w:r>
            <w:r w:rsidR="00B72B6A" w:rsidRPr="00525577">
              <w:rPr>
                <w:sz w:val="24"/>
                <w:szCs w:val="24"/>
              </w:rPr>
              <w:t>9</w:t>
            </w:r>
          </w:p>
        </w:tc>
        <w:tc>
          <w:tcPr>
            <w:tcW w:w="3547" w:type="dxa"/>
            <w:shd w:val="clear" w:color="auto" w:fill="FFFFFF" w:themeFill="background1"/>
          </w:tcPr>
          <w:p w14:paraId="60108B1F" w14:textId="692B4C8B" w:rsidR="000307F5" w:rsidRPr="00525577" w:rsidRDefault="000307F5" w:rsidP="000307F5">
            <w:pPr>
              <w:rPr>
                <w:rFonts w:cstheme="minorHAnsi"/>
                <w:color w:val="000000"/>
                <w:sz w:val="24"/>
                <w:szCs w:val="24"/>
              </w:rPr>
            </w:pPr>
            <w:r w:rsidRPr="00525577">
              <w:rPr>
                <w:rFonts w:cstheme="minorHAnsi"/>
                <w:color w:val="000000"/>
                <w:sz w:val="24"/>
                <w:szCs w:val="24"/>
              </w:rPr>
              <w:t>The CMHSP uses modern encryption standards for encrypting removable media containing PHI. (</w:t>
            </w:r>
            <w:proofErr w:type="spellStart"/>
            <w:r w:rsidRPr="00525577">
              <w:rPr>
                <w:rFonts w:cstheme="minorHAnsi"/>
                <w:color w:val="000000"/>
                <w:sz w:val="24"/>
                <w:szCs w:val="24"/>
              </w:rPr>
              <w:t>flashdrives</w:t>
            </w:r>
            <w:proofErr w:type="spellEnd"/>
            <w:r w:rsidRPr="00525577">
              <w:rPr>
                <w:rFonts w:cstheme="minorHAnsi"/>
                <w:color w:val="000000"/>
                <w:sz w:val="24"/>
                <w:szCs w:val="24"/>
              </w:rPr>
              <w:t>, memory cards, CD/DVDs, disks, etc.)</w:t>
            </w:r>
          </w:p>
        </w:tc>
        <w:tc>
          <w:tcPr>
            <w:tcW w:w="2615" w:type="dxa"/>
            <w:vMerge/>
            <w:shd w:val="clear" w:color="auto" w:fill="FFFFFF" w:themeFill="background1"/>
          </w:tcPr>
          <w:p w14:paraId="75B6079D"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634F0CB1" w14:textId="77777777" w:rsidR="000307F5" w:rsidRPr="00525577" w:rsidRDefault="000307F5" w:rsidP="000307F5">
            <w:pPr>
              <w:rPr>
                <w:rFonts w:cstheme="minorHAnsi"/>
                <w:sz w:val="24"/>
                <w:szCs w:val="24"/>
              </w:rPr>
            </w:pPr>
          </w:p>
        </w:tc>
        <w:tc>
          <w:tcPr>
            <w:tcW w:w="1772" w:type="dxa"/>
            <w:shd w:val="clear" w:color="auto" w:fill="FFFFFF" w:themeFill="background1"/>
          </w:tcPr>
          <w:p w14:paraId="6AA6C97A" w14:textId="77777777" w:rsidR="000307F5" w:rsidRPr="00525577" w:rsidRDefault="000307F5" w:rsidP="000307F5">
            <w:pPr>
              <w:rPr>
                <w:rFonts w:cstheme="minorHAnsi"/>
                <w:sz w:val="24"/>
                <w:szCs w:val="24"/>
              </w:rPr>
            </w:pPr>
          </w:p>
        </w:tc>
        <w:tc>
          <w:tcPr>
            <w:tcW w:w="3557" w:type="dxa"/>
            <w:shd w:val="clear" w:color="auto" w:fill="FFFFFF" w:themeFill="background1"/>
          </w:tcPr>
          <w:p w14:paraId="1B8C2BBC" w14:textId="1174BE06" w:rsidR="000307F5" w:rsidRPr="00525577" w:rsidRDefault="000307F5" w:rsidP="00B72B6A">
            <w:pPr>
              <w:jc w:val="center"/>
              <w:rPr>
                <w:rFonts w:cstheme="minorHAnsi"/>
                <w:b/>
                <w:bCs/>
                <w:color w:val="EE0000"/>
                <w:sz w:val="24"/>
                <w:szCs w:val="24"/>
              </w:rPr>
            </w:pPr>
          </w:p>
        </w:tc>
      </w:tr>
      <w:tr w:rsidR="000307F5" w:rsidRPr="00525577" w14:paraId="013F9C6B" w14:textId="77777777" w:rsidTr="00B72B6A">
        <w:tc>
          <w:tcPr>
            <w:tcW w:w="926" w:type="dxa"/>
            <w:shd w:val="clear" w:color="auto" w:fill="FFFFFF" w:themeFill="background1"/>
          </w:tcPr>
          <w:p w14:paraId="756A44B0" w14:textId="79303754" w:rsidR="000307F5" w:rsidRPr="00525577" w:rsidRDefault="000307F5" w:rsidP="000307F5">
            <w:pPr>
              <w:rPr>
                <w:sz w:val="24"/>
                <w:szCs w:val="24"/>
              </w:rPr>
            </w:pPr>
            <w:r w:rsidRPr="00525577">
              <w:rPr>
                <w:sz w:val="24"/>
                <w:szCs w:val="24"/>
              </w:rPr>
              <w:t>12.</w:t>
            </w:r>
            <w:r w:rsidR="00B72B6A" w:rsidRPr="00525577">
              <w:rPr>
                <w:sz w:val="24"/>
                <w:szCs w:val="24"/>
              </w:rPr>
              <w:t>40</w:t>
            </w:r>
          </w:p>
        </w:tc>
        <w:tc>
          <w:tcPr>
            <w:tcW w:w="3547" w:type="dxa"/>
            <w:shd w:val="clear" w:color="auto" w:fill="FFFFFF" w:themeFill="background1"/>
          </w:tcPr>
          <w:p w14:paraId="08DA0528" w14:textId="513AE323"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uses modern authentication and encryption technologies to encrypt agency </w:t>
            </w:r>
            <w:r w:rsidRPr="00525577">
              <w:rPr>
                <w:rFonts w:cstheme="minorHAnsi"/>
                <w:color w:val="000000"/>
                <w:sz w:val="24"/>
                <w:szCs w:val="24"/>
              </w:rPr>
              <w:lastRenderedPageBreak/>
              <w:t>wireless network traffic. (ex. WPA, WPA2, TKIP, AES)</w:t>
            </w:r>
          </w:p>
        </w:tc>
        <w:tc>
          <w:tcPr>
            <w:tcW w:w="2615" w:type="dxa"/>
            <w:vMerge/>
            <w:shd w:val="clear" w:color="auto" w:fill="FFFFFF" w:themeFill="background1"/>
          </w:tcPr>
          <w:p w14:paraId="2F0494B1"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5DC916E0" w14:textId="77777777" w:rsidR="000307F5" w:rsidRPr="00525577" w:rsidRDefault="000307F5" w:rsidP="000307F5">
            <w:pPr>
              <w:rPr>
                <w:rFonts w:cstheme="minorHAnsi"/>
                <w:sz w:val="24"/>
                <w:szCs w:val="24"/>
              </w:rPr>
            </w:pPr>
          </w:p>
        </w:tc>
        <w:tc>
          <w:tcPr>
            <w:tcW w:w="1772" w:type="dxa"/>
            <w:shd w:val="clear" w:color="auto" w:fill="FFFFFF" w:themeFill="background1"/>
          </w:tcPr>
          <w:p w14:paraId="067F81A5" w14:textId="77777777" w:rsidR="000307F5" w:rsidRPr="00525577" w:rsidRDefault="000307F5" w:rsidP="000307F5">
            <w:pPr>
              <w:rPr>
                <w:rFonts w:cstheme="minorHAnsi"/>
                <w:sz w:val="24"/>
                <w:szCs w:val="24"/>
              </w:rPr>
            </w:pPr>
          </w:p>
        </w:tc>
        <w:tc>
          <w:tcPr>
            <w:tcW w:w="3557" w:type="dxa"/>
            <w:shd w:val="clear" w:color="auto" w:fill="FFFFFF" w:themeFill="background1"/>
          </w:tcPr>
          <w:p w14:paraId="649D4A7D" w14:textId="1B0106F6" w:rsidR="000307F5" w:rsidRPr="00525577" w:rsidRDefault="000307F5" w:rsidP="00B72B6A">
            <w:pPr>
              <w:jc w:val="center"/>
              <w:rPr>
                <w:rFonts w:cstheme="minorHAnsi"/>
                <w:b/>
                <w:bCs/>
                <w:sz w:val="24"/>
                <w:szCs w:val="24"/>
              </w:rPr>
            </w:pPr>
          </w:p>
        </w:tc>
      </w:tr>
      <w:tr w:rsidR="000307F5" w:rsidRPr="00525577" w14:paraId="670E365F" w14:textId="77777777" w:rsidTr="007877AE">
        <w:tc>
          <w:tcPr>
            <w:tcW w:w="14263" w:type="dxa"/>
            <w:gridSpan w:val="6"/>
          </w:tcPr>
          <w:p w14:paraId="4B506A63" w14:textId="170E4F33" w:rsidR="000307F5" w:rsidRPr="00525577" w:rsidRDefault="007877AE" w:rsidP="000307F5">
            <w:pPr>
              <w:rPr>
                <w:b/>
                <w:sz w:val="24"/>
                <w:szCs w:val="24"/>
              </w:rPr>
            </w:pPr>
            <w:r w:rsidRPr="00525577">
              <w:rPr>
                <w:b/>
                <w:sz w:val="24"/>
                <w:szCs w:val="24"/>
              </w:rPr>
              <w:t xml:space="preserve">Technical Safeguards - </w:t>
            </w:r>
            <w:r w:rsidR="000307F5" w:rsidRPr="00525577">
              <w:rPr>
                <w:b/>
                <w:sz w:val="24"/>
                <w:szCs w:val="24"/>
              </w:rPr>
              <w:t>Workstation Security</w:t>
            </w:r>
            <w:r w:rsidRPr="00525577">
              <w:rPr>
                <w:b/>
                <w:sz w:val="24"/>
                <w:szCs w:val="24"/>
              </w:rPr>
              <w:t>:</w:t>
            </w:r>
            <w:r w:rsidR="00D60439" w:rsidRPr="00525577">
              <w:rPr>
                <w:b/>
                <w:sz w:val="24"/>
                <w:szCs w:val="24"/>
              </w:rPr>
              <w:t xml:space="preserve"> </w:t>
            </w:r>
          </w:p>
        </w:tc>
      </w:tr>
      <w:tr w:rsidR="000307F5" w:rsidRPr="00525577" w14:paraId="1E643536" w14:textId="77777777" w:rsidTr="00B72B6A">
        <w:tc>
          <w:tcPr>
            <w:tcW w:w="926" w:type="dxa"/>
            <w:shd w:val="clear" w:color="auto" w:fill="FFFFFF" w:themeFill="background1"/>
          </w:tcPr>
          <w:p w14:paraId="7737E97B" w14:textId="762E1293" w:rsidR="000307F5" w:rsidRPr="00525577" w:rsidRDefault="000307F5" w:rsidP="000307F5">
            <w:pPr>
              <w:rPr>
                <w:sz w:val="24"/>
                <w:szCs w:val="24"/>
              </w:rPr>
            </w:pPr>
            <w:r w:rsidRPr="00525577">
              <w:rPr>
                <w:sz w:val="24"/>
                <w:szCs w:val="24"/>
              </w:rPr>
              <w:t>12.</w:t>
            </w:r>
            <w:r w:rsidR="00385D4E" w:rsidRPr="00525577">
              <w:rPr>
                <w:sz w:val="24"/>
                <w:szCs w:val="24"/>
              </w:rPr>
              <w:t>41</w:t>
            </w:r>
          </w:p>
        </w:tc>
        <w:tc>
          <w:tcPr>
            <w:tcW w:w="3547" w:type="dxa"/>
            <w:shd w:val="clear" w:color="auto" w:fill="FFFFFF" w:themeFill="background1"/>
          </w:tcPr>
          <w:p w14:paraId="3705128A" w14:textId="1EDC0799" w:rsidR="000307F5" w:rsidRPr="00525577" w:rsidRDefault="000307F5" w:rsidP="000307F5">
            <w:pPr>
              <w:rPr>
                <w:rFonts w:cstheme="minorHAnsi"/>
                <w:color w:val="000000"/>
                <w:sz w:val="24"/>
                <w:szCs w:val="24"/>
              </w:rPr>
            </w:pPr>
            <w:r w:rsidRPr="00525577">
              <w:rPr>
                <w:rFonts w:cstheme="minorHAnsi"/>
                <w:color w:val="000000"/>
                <w:sz w:val="24"/>
                <w:szCs w:val="24"/>
              </w:rPr>
              <w:t>Operating systems used are currently supported, and not out of date.</w:t>
            </w:r>
          </w:p>
        </w:tc>
        <w:tc>
          <w:tcPr>
            <w:tcW w:w="2615" w:type="dxa"/>
            <w:vMerge w:val="restart"/>
            <w:shd w:val="clear" w:color="auto" w:fill="FFFFFF" w:themeFill="background1"/>
          </w:tcPr>
          <w:p w14:paraId="1BE47F6F" w14:textId="0F53547D" w:rsidR="000307F5" w:rsidRPr="00525577" w:rsidRDefault="000307F5" w:rsidP="000307F5">
            <w:pPr>
              <w:rPr>
                <w:color w:val="000000"/>
                <w:sz w:val="24"/>
                <w:szCs w:val="24"/>
              </w:rPr>
            </w:pPr>
            <w:r w:rsidRPr="00525577">
              <w:rPr>
                <w:color w:val="000000" w:themeColor="text1"/>
                <w:sz w:val="24"/>
                <w:szCs w:val="24"/>
              </w:rPr>
              <w:t xml:space="preserve">HIPAA Security and Privacy, 45 CFR Parts 160 &amp; 164 Subparts A, B, C, D, </w:t>
            </w:r>
            <w:proofErr w:type="gramStart"/>
            <w:r w:rsidRPr="00525577">
              <w:rPr>
                <w:color w:val="000000" w:themeColor="text1"/>
                <w:sz w:val="24"/>
                <w:szCs w:val="24"/>
              </w:rPr>
              <w:t>E;</w:t>
            </w:r>
            <w:proofErr w:type="gramEnd"/>
            <w:r w:rsidRPr="00525577">
              <w:rPr>
                <w:color w:val="000000" w:themeColor="text1"/>
                <w:sz w:val="24"/>
                <w:szCs w:val="24"/>
              </w:rPr>
              <w:t xml:space="preserve"> </w:t>
            </w:r>
          </w:p>
          <w:p w14:paraId="29E99325" w14:textId="2B44A0E7" w:rsidR="000307F5" w:rsidRPr="00525577" w:rsidRDefault="000307F5" w:rsidP="000307F5">
            <w:pPr>
              <w:rPr>
                <w:color w:val="000000"/>
                <w:sz w:val="24"/>
                <w:szCs w:val="24"/>
              </w:rPr>
            </w:pPr>
          </w:p>
          <w:p w14:paraId="7A1C3DBD" w14:textId="42823F39" w:rsidR="000307F5" w:rsidRPr="00525577" w:rsidRDefault="000307F5" w:rsidP="000307F5">
            <w:pPr>
              <w:rPr>
                <w:color w:val="000000"/>
                <w:sz w:val="24"/>
                <w:szCs w:val="24"/>
              </w:rPr>
            </w:pPr>
            <w:r w:rsidRPr="00525577">
              <w:rPr>
                <w:color w:val="000000" w:themeColor="text1"/>
                <w:sz w:val="24"/>
                <w:szCs w:val="24"/>
              </w:rPr>
              <w:t xml:space="preserve">LRE/CMHSP Participant contract delegation grid; Commonly accepted IT practices </w:t>
            </w:r>
          </w:p>
          <w:p w14:paraId="58A4FF8A"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4CEC2EF1" w14:textId="77777777" w:rsidR="000307F5" w:rsidRPr="00525577" w:rsidRDefault="000307F5" w:rsidP="000307F5">
            <w:pPr>
              <w:rPr>
                <w:rFonts w:cstheme="minorHAnsi"/>
                <w:sz w:val="24"/>
                <w:szCs w:val="24"/>
              </w:rPr>
            </w:pPr>
          </w:p>
        </w:tc>
        <w:tc>
          <w:tcPr>
            <w:tcW w:w="1772" w:type="dxa"/>
            <w:shd w:val="clear" w:color="auto" w:fill="FFFFFF" w:themeFill="background1"/>
          </w:tcPr>
          <w:p w14:paraId="1BD1BD47" w14:textId="77777777" w:rsidR="000307F5" w:rsidRPr="00525577" w:rsidRDefault="000307F5" w:rsidP="000307F5">
            <w:pPr>
              <w:rPr>
                <w:rFonts w:cstheme="minorHAnsi"/>
                <w:sz w:val="24"/>
                <w:szCs w:val="24"/>
              </w:rPr>
            </w:pPr>
          </w:p>
        </w:tc>
        <w:tc>
          <w:tcPr>
            <w:tcW w:w="3557" w:type="dxa"/>
            <w:shd w:val="clear" w:color="auto" w:fill="FFFFFF" w:themeFill="background1"/>
          </w:tcPr>
          <w:p w14:paraId="58570B95" w14:textId="664899A0" w:rsidR="000307F5" w:rsidRPr="00525577" w:rsidRDefault="000307F5" w:rsidP="000307F5">
            <w:pPr>
              <w:jc w:val="center"/>
              <w:rPr>
                <w:rFonts w:cstheme="minorHAnsi"/>
                <w:b/>
                <w:bCs/>
                <w:sz w:val="24"/>
                <w:szCs w:val="24"/>
              </w:rPr>
            </w:pPr>
          </w:p>
        </w:tc>
      </w:tr>
      <w:tr w:rsidR="000307F5" w:rsidRPr="00525577" w14:paraId="37CC650E" w14:textId="77777777" w:rsidTr="00B72B6A">
        <w:tc>
          <w:tcPr>
            <w:tcW w:w="926" w:type="dxa"/>
            <w:shd w:val="clear" w:color="auto" w:fill="FFFFFF" w:themeFill="background1"/>
          </w:tcPr>
          <w:p w14:paraId="3D631370" w14:textId="6F1D3C68" w:rsidR="000307F5" w:rsidRPr="00525577" w:rsidRDefault="000307F5" w:rsidP="000307F5">
            <w:pPr>
              <w:rPr>
                <w:sz w:val="24"/>
                <w:szCs w:val="24"/>
              </w:rPr>
            </w:pPr>
            <w:r w:rsidRPr="00525577">
              <w:rPr>
                <w:sz w:val="24"/>
                <w:szCs w:val="24"/>
              </w:rPr>
              <w:t>12.4</w:t>
            </w:r>
            <w:r w:rsidR="00385D4E" w:rsidRPr="00525577">
              <w:rPr>
                <w:sz w:val="24"/>
                <w:szCs w:val="24"/>
              </w:rPr>
              <w:t>2</w:t>
            </w:r>
          </w:p>
        </w:tc>
        <w:tc>
          <w:tcPr>
            <w:tcW w:w="3547" w:type="dxa"/>
            <w:shd w:val="clear" w:color="auto" w:fill="FFFFFF" w:themeFill="background1"/>
          </w:tcPr>
          <w:p w14:paraId="7A78EE6B" w14:textId="77777777" w:rsidR="000307F5" w:rsidRPr="00525577" w:rsidRDefault="000307F5" w:rsidP="000307F5">
            <w:pPr>
              <w:rPr>
                <w:rFonts w:cstheme="minorHAnsi"/>
                <w:color w:val="000000"/>
                <w:sz w:val="24"/>
                <w:szCs w:val="24"/>
              </w:rPr>
            </w:pPr>
            <w:r w:rsidRPr="00525577">
              <w:rPr>
                <w:rFonts w:cstheme="minorHAnsi"/>
                <w:color w:val="000000"/>
                <w:sz w:val="24"/>
                <w:szCs w:val="24"/>
              </w:rPr>
              <w:t>Operating system and software updates are applied to systems on a regular scheduled basis.</w:t>
            </w:r>
          </w:p>
          <w:p w14:paraId="1CED8CAD" w14:textId="77777777" w:rsidR="000307F5" w:rsidRPr="00525577" w:rsidRDefault="000307F5" w:rsidP="000307F5">
            <w:pPr>
              <w:rPr>
                <w:rFonts w:cstheme="minorHAnsi"/>
                <w:color w:val="000000"/>
                <w:sz w:val="24"/>
                <w:szCs w:val="24"/>
              </w:rPr>
            </w:pPr>
          </w:p>
        </w:tc>
        <w:tc>
          <w:tcPr>
            <w:tcW w:w="2615" w:type="dxa"/>
            <w:vMerge/>
            <w:shd w:val="clear" w:color="auto" w:fill="FFFFFF" w:themeFill="background1"/>
          </w:tcPr>
          <w:p w14:paraId="603A8C48"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41249247" w14:textId="77777777" w:rsidR="000307F5" w:rsidRPr="00525577" w:rsidRDefault="000307F5" w:rsidP="000307F5">
            <w:pPr>
              <w:rPr>
                <w:rFonts w:cstheme="minorHAnsi"/>
                <w:sz w:val="24"/>
                <w:szCs w:val="24"/>
              </w:rPr>
            </w:pPr>
          </w:p>
        </w:tc>
        <w:tc>
          <w:tcPr>
            <w:tcW w:w="1772" w:type="dxa"/>
            <w:shd w:val="clear" w:color="auto" w:fill="FFFFFF" w:themeFill="background1"/>
          </w:tcPr>
          <w:p w14:paraId="330C8BC1" w14:textId="77777777" w:rsidR="000307F5" w:rsidRPr="00525577" w:rsidRDefault="000307F5" w:rsidP="000307F5">
            <w:pPr>
              <w:rPr>
                <w:rFonts w:cstheme="minorHAnsi"/>
                <w:sz w:val="24"/>
                <w:szCs w:val="24"/>
              </w:rPr>
            </w:pPr>
          </w:p>
        </w:tc>
        <w:tc>
          <w:tcPr>
            <w:tcW w:w="3557" w:type="dxa"/>
            <w:shd w:val="clear" w:color="auto" w:fill="FFFFFF" w:themeFill="background1"/>
          </w:tcPr>
          <w:p w14:paraId="035A3C6A" w14:textId="265D59BE" w:rsidR="000307F5" w:rsidRPr="00525577" w:rsidRDefault="000307F5" w:rsidP="000307F5">
            <w:pPr>
              <w:jc w:val="center"/>
              <w:rPr>
                <w:rFonts w:cstheme="minorHAnsi"/>
                <w:b/>
                <w:bCs/>
                <w:sz w:val="24"/>
                <w:szCs w:val="24"/>
              </w:rPr>
            </w:pPr>
          </w:p>
        </w:tc>
      </w:tr>
      <w:tr w:rsidR="000307F5" w:rsidRPr="00525577" w14:paraId="204045C8" w14:textId="77777777" w:rsidTr="00B72B6A">
        <w:tc>
          <w:tcPr>
            <w:tcW w:w="926" w:type="dxa"/>
            <w:shd w:val="clear" w:color="auto" w:fill="FFFFFF" w:themeFill="background1"/>
          </w:tcPr>
          <w:p w14:paraId="5F73ACEC" w14:textId="66706B4B" w:rsidR="000307F5" w:rsidRPr="00525577" w:rsidRDefault="000307F5" w:rsidP="000307F5">
            <w:pPr>
              <w:rPr>
                <w:sz w:val="24"/>
                <w:szCs w:val="24"/>
              </w:rPr>
            </w:pPr>
            <w:r w:rsidRPr="00525577">
              <w:rPr>
                <w:sz w:val="24"/>
                <w:szCs w:val="24"/>
              </w:rPr>
              <w:t>12.4</w:t>
            </w:r>
            <w:r w:rsidR="00385D4E" w:rsidRPr="00525577">
              <w:rPr>
                <w:sz w:val="24"/>
                <w:szCs w:val="24"/>
              </w:rPr>
              <w:t>3</w:t>
            </w:r>
          </w:p>
        </w:tc>
        <w:tc>
          <w:tcPr>
            <w:tcW w:w="3547" w:type="dxa"/>
            <w:shd w:val="clear" w:color="auto" w:fill="FFFFFF" w:themeFill="background1"/>
          </w:tcPr>
          <w:p w14:paraId="342D99F5" w14:textId="2706438A" w:rsidR="000307F5" w:rsidRPr="00525577" w:rsidRDefault="000307F5" w:rsidP="000307F5">
            <w:pPr>
              <w:rPr>
                <w:rFonts w:cstheme="minorHAnsi"/>
                <w:color w:val="000000"/>
                <w:sz w:val="24"/>
                <w:szCs w:val="24"/>
              </w:rPr>
            </w:pPr>
            <w:r w:rsidRPr="00525577">
              <w:rPr>
                <w:rFonts w:cstheme="minorHAnsi"/>
                <w:color w:val="000000"/>
                <w:sz w:val="24"/>
                <w:szCs w:val="24"/>
              </w:rPr>
              <w:t>Endpoint security software/antivirus is installed on all devices</w:t>
            </w:r>
          </w:p>
          <w:p w14:paraId="73BDD19E" w14:textId="77777777" w:rsidR="000307F5" w:rsidRPr="00525577" w:rsidRDefault="000307F5" w:rsidP="000307F5">
            <w:pPr>
              <w:rPr>
                <w:rFonts w:cstheme="minorHAnsi"/>
                <w:color w:val="000000"/>
                <w:sz w:val="24"/>
                <w:szCs w:val="24"/>
              </w:rPr>
            </w:pPr>
          </w:p>
        </w:tc>
        <w:tc>
          <w:tcPr>
            <w:tcW w:w="2615" w:type="dxa"/>
            <w:vMerge/>
            <w:shd w:val="clear" w:color="auto" w:fill="FFFFFF" w:themeFill="background1"/>
          </w:tcPr>
          <w:p w14:paraId="541F8C37"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5952F085" w14:textId="77777777" w:rsidR="000307F5" w:rsidRPr="00525577" w:rsidRDefault="000307F5" w:rsidP="000307F5">
            <w:pPr>
              <w:rPr>
                <w:rFonts w:cstheme="minorHAnsi"/>
                <w:sz w:val="24"/>
                <w:szCs w:val="24"/>
              </w:rPr>
            </w:pPr>
          </w:p>
        </w:tc>
        <w:tc>
          <w:tcPr>
            <w:tcW w:w="1772" w:type="dxa"/>
            <w:shd w:val="clear" w:color="auto" w:fill="FFFFFF" w:themeFill="background1"/>
          </w:tcPr>
          <w:p w14:paraId="5DE216A6" w14:textId="77777777" w:rsidR="000307F5" w:rsidRPr="00525577" w:rsidRDefault="000307F5" w:rsidP="000307F5">
            <w:pPr>
              <w:rPr>
                <w:rFonts w:cstheme="minorHAnsi"/>
                <w:sz w:val="24"/>
                <w:szCs w:val="24"/>
              </w:rPr>
            </w:pPr>
          </w:p>
        </w:tc>
        <w:tc>
          <w:tcPr>
            <w:tcW w:w="3557" w:type="dxa"/>
            <w:shd w:val="clear" w:color="auto" w:fill="FFFFFF" w:themeFill="background1"/>
          </w:tcPr>
          <w:p w14:paraId="458BD391" w14:textId="01369777" w:rsidR="000307F5" w:rsidRPr="00525577" w:rsidRDefault="000307F5" w:rsidP="000307F5">
            <w:pPr>
              <w:jc w:val="center"/>
              <w:rPr>
                <w:rFonts w:cstheme="minorHAnsi"/>
                <w:b/>
                <w:bCs/>
                <w:sz w:val="24"/>
                <w:szCs w:val="24"/>
              </w:rPr>
            </w:pPr>
          </w:p>
        </w:tc>
      </w:tr>
      <w:tr w:rsidR="000307F5" w:rsidRPr="00525577" w14:paraId="16EA9AAC" w14:textId="77777777" w:rsidTr="00B72B6A">
        <w:tc>
          <w:tcPr>
            <w:tcW w:w="926" w:type="dxa"/>
            <w:shd w:val="clear" w:color="auto" w:fill="FFFFFF" w:themeFill="background1"/>
          </w:tcPr>
          <w:p w14:paraId="62F93591" w14:textId="0FE4D8C8" w:rsidR="000307F5" w:rsidRPr="00525577" w:rsidRDefault="000307F5" w:rsidP="000307F5">
            <w:pPr>
              <w:rPr>
                <w:sz w:val="24"/>
                <w:szCs w:val="24"/>
              </w:rPr>
            </w:pPr>
            <w:r w:rsidRPr="00525577">
              <w:rPr>
                <w:sz w:val="24"/>
                <w:szCs w:val="24"/>
              </w:rPr>
              <w:t>12.4</w:t>
            </w:r>
            <w:r w:rsidR="00385D4E" w:rsidRPr="00525577">
              <w:rPr>
                <w:sz w:val="24"/>
                <w:szCs w:val="24"/>
              </w:rPr>
              <w:t>4</w:t>
            </w:r>
          </w:p>
        </w:tc>
        <w:tc>
          <w:tcPr>
            <w:tcW w:w="3547" w:type="dxa"/>
            <w:shd w:val="clear" w:color="auto" w:fill="FFFFFF" w:themeFill="background1"/>
          </w:tcPr>
          <w:p w14:paraId="4D613B41" w14:textId="77777777"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uses secure remote access software or a VPN to access systems containing PHI remotely. </w:t>
            </w:r>
          </w:p>
          <w:p w14:paraId="0D88F6C9" w14:textId="77777777" w:rsidR="000307F5" w:rsidRPr="00525577" w:rsidRDefault="000307F5" w:rsidP="000307F5">
            <w:pPr>
              <w:rPr>
                <w:rFonts w:cstheme="minorHAnsi"/>
                <w:color w:val="000000"/>
                <w:sz w:val="24"/>
                <w:szCs w:val="24"/>
              </w:rPr>
            </w:pPr>
          </w:p>
        </w:tc>
        <w:tc>
          <w:tcPr>
            <w:tcW w:w="2615" w:type="dxa"/>
            <w:vMerge/>
            <w:shd w:val="clear" w:color="auto" w:fill="FFFFFF" w:themeFill="background1"/>
          </w:tcPr>
          <w:p w14:paraId="5A704134"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1F824CF9" w14:textId="77777777" w:rsidR="000307F5" w:rsidRPr="00525577" w:rsidRDefault="000307F5" w:rsidP="000307F5">
            <w:pPr>
              <w:rPr>
                <w:rFonts w:cstheme="minorHAnsi"/>
                <w:sz w:val="24"/>
                <w:szCs w:val="24"/>
              </w:rPr>
            </w:pPr>
          </w:p>
        </w:tc>
        <w:tc>
          <w:tcPr>
            <w:tcW w:w="1772" w:type="dxa"/>
            <w:shd w:val="clear" w:color="auto" w:fill="FFFFFF" w:themeFill="background1"/>
          </w:tcPr>
          <w:p w14:paraId="64CFA134" w14:textId="77777777" w:rsidR="000307F5" w:rsidRPr="00525577" w:rsidRDefault="000307F5" w:rsidP="000307F5">
            <w:pPr>
              <w:rPr>
                <w:rFonts w:cstheme="minorHAnsi"/>
                <w:sz w:val="24"/>
                <w:szCs w:val="24"/>
              </w:rPr>
            </w:pPr>
          </w:p>
        </w:tc>
        <w:tc>
          <w:tcPr>
            <w:tcW w:w="3557" w:type="dxa"/>
            <w:shd w:val="clear" w:color="auto" w:fill="FFFFFF" w:themeFill="background1"/>
          </w:tcPr>
          <w:p w14:paraId="0C68434D" w14:textId="387525C4" w:rsidR="000307F5" w:rsidRPr="00525577" w:rsidRDefault="000307F5" w:rsidP="000307F5">
            <w:pPr>
              <w:jc w:val="center"/>
              <w:rPr>
                <w:rFonts w:cstheme="minorHAnsi"/>
                <w:b/>
                <w:bCs/>
                <w:sz w:val="24"/>
                <w:szCs w:val="24"/>
              </w:rPr>
            </w:pPr>
          </w:p>
        </w:tc>
      </w:tr>
      <w:tr w:rsidR="000307F5" w:rsidRPr="00525577" w14:paraId="38836705" w14:textId="77777777" w:rsidTr="007877AE">
        <w:tc>
          <w:tcPr>
            <w:tcW w:w="14263" w:type="dxa"/>
            <w:gridSpan w:val="6"/>
          </w:tcPr>
          <w:p w14:paraId="166B96C3" w14:textId="28E3710F" w:rsidR="000307F5" w:rsidRPr="00525577" w:rsidRDefault="000307F5" w:rsidP="000307F5">
            <w:pPr>
              <w:rPr>
                <w:b/>
                <w:sz w:val="24"/>
                <w:szCs w:val="24"/>
              </w:rPr>
            </w:pPr>
            <w:r w:rsidRPr="00525577">
              <w:rPr>
                <w:b/>
                <w:sz w:val="24"/>
                <w:szCs w:val="24"/>
              </w:rPr>
              <w:t>Physical Safeguards</w:t>
            </w:r>
            <w:r w:rsidR="007877AE" w:rsidRPr="00525577">
              <w:rPr>
                <w:b/>
                <w:sz w:val="24"/>
                <w:szCs w:val="24"/>
              </w:rPr>
              <w:t xml:space="preserve"> – Facility Controls:</w:t>
            </w:r>
            <w:r w:rsidR="00D60439" w:rsidRPr="00525577">
              <w:rPr>
                <w:b/>
                <w:sz w:val="24"/>
                <w:szCs w:val="24"/>
              </w:rPr>
              <w:t xml:space="preserve"> </w:t>
            </w:r>
          </w:p>
        </w:tc>
      </w:tr>
      <w:tr w:rsidR="000307F5" w:rsidRPr="00525577" w14:paraId="59B9E626" w14:textId="77777777" w:rsidTr="00B72B6A">
        <w:tc>
          <w:tcPr>
            <w:tcW w:w="926" w:type="dxa"/>
            <w:shd w:val="clear" w:color="auto" w:fill="FFFFFF" w:themeFill="background1"/>
          </w:tcPr>
          <w:p w14:paraId="5215056E" w14:textId="3E14C829" w:rsidR="000307F5" w:rsidRPr="00525577" w:rsidRDefault="000307F5" w:rsidP="000307F5">
            <w:pPr>
              <w:rPr>
                <w:sz w:val="24"/>
                <w:szCs w:val="24"/>
              </w:rPr>
            </w:pPr>
            <w:r w:rsidRPr="00525577">
              <w:rPr>
                <w:sz w:val="24"/>
                <w:szCs w:val="24"/>
              </w:rPr>
              <w:lastRenderedPageBreak/>
              <w:t>12.4</w:t>
            </w:r>
            <w:r w:rsidR="008F6329" w:rsidRPr="00525577">
              <w:rPr>
                <w:sz w:val="24"/>
                <w:szCs w:val="24"/>
              </w:rPr>
              <w:t>5</w:t>
            </w:r>
          </w:p>
        </w:tc>
        <w:tc>
          <w:tcPr>
            <w:tcW w:w="3547" w:type="dxa"/>
            <w:shd w:val="clear" w:color="auto" w:fill="FFFFFF" w:themeFill="background1"/>
          </w:tcPr>
          <w:p w14:paraId="0B7E236F" w14:textId="6AF52EF1" w:rsidR="000307F5" w:rsidRPr="00525577" w:rsidRDefault="000307F5" w:rsidP="000307F5">
            <w:pPr>
              <w:rPr>
                <w:rFonts w:cstheme="minorHAnsi"/>
                <w:color w:val="000000"/>
                <w:sz w:val="24"/>
                <w:szCs w:val="24"/>
              </w:rPr>
            </w:pPr>
            <w:r w:rsidRPr="00525577">
              <w:rPr>
                <w:rFonts w:cstheme="minorHAnsi"/>
                <w:color w:val="000000"/>
                <w:sz w:val="24"/>
                <w:szCs w:val="24"/>
              </w:rPr>
              <w:t>The CMHSP has a method for tracking access to a facility with PHI for authorized users and visitors. (ex. keycards, receptionist)</w:t>
            </w:r>
          </w:p>
        </w:tc>
        <w:tc>
          <w:tcPr>
            <w:tcW w:w="2615" w:type="dxa"/>
            <w:vMerge w:val="restart"/>
            <w:shd w:val="clear" w:color="auto" w:fill="FFFFFF" w:themeFill="background1"/>
          </w:tcPr>
          <w:p w14:paraId="49A76499" w14:textId="000EE0D8" w:rsidR="000307F5" w:rsidRPr="00525577" w:rsidRDefault="000307F5" w:rsidP="000307F5">
            <w:pPr>
              <w:rPr>
                <w:color w:val="000000"/>
                <w:sz w:val="24"/>
                <w:szCs w:val="24"/>
              </w:rPr>
            </w:pPr>
            <w:r w:rsidRPr="00525577">
              <w:rPr>
                <w:color w:val="000000" w:themeColor="text1"/>
                <w:sz w:val="24"/>
                <w:szCs w:val="24"/>
              </w:rPr>
              <w:t xml:space="preserve">HIPAA Security and Privacy, 45 CFR Parts 160 &amp; 164 Subparts A, B, C, D, </w:t>
            </w:r>
            <w:proofErr w:type="gramStart"/>
            <w:r w:rsidRPr="00525577">
              <w:rPr>
                <w:color w:val="000000" w:themeColor="text1"/>
                <w:sz w:val="24"/>
                <w:szCs w:val="24"/>
              </w:rPr>
              <w:t>E;</w:t>
            </w:r>
            <w:proofErr w:type="gramEnd"/>
            <w:r w:rsidRPr="00525577">
              <w:rPr>
                <w:color w:val="000000" w:themeColor="text1"/>
                <w:sz w:val="24"/>
                <w:szCs w:val="24"/>
              </w:rPr>
              <w:t xml:space="preserve"> </w:t>
            </w:r>
          </w:p>
          <w:p w14:paraId="4DE778E3" w14:textId="2B44A0E7" w:rsidR="000307F5" w:rsidRPr="00525577" w:rsidRDefault="000307F5" w:rsidP="000307F5">
            <w:pPr>
              <w:rPr>
                <w:color w:val="000000"/>
                <w:sz w:val="24"/>
                <w:szCs w:val="24"/>
              </w:rPr>
            </w:pPr>
          </w:p>
          <w:p w14:paraId="2C1EFAC8" w14:textId="5363343B" w:rsidR="000307F5" w:rsidRPr="00525577" w:rsidRDefault="000307F5" w:rsidP="000307F5">
            <w:pPr>
              <w:rPr>
                <w:color w:val="000000"/>
                <w:sz w:val="24"/>
                <w:szCs w:val="24"/>
              </w:rPr>
            </w:pPr>
            <w:r w:rsidRPr="00525577">
              <w:rPr>
                <w:color w:val="000000" w:themeColor="text1"/>
                <w:sz w:val="24"/>
                <w:szCs w:val="24"/>
              </w:rPr>
              <w:t xml:space="preserve">LRE/CMHSP Participant contract delegation grid; Commonly accepted IT practices </w:t>
            </w:r>
          </w:p>
          <w:p w14:paraId="0121FDF8"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1018BFC1" w14:textId="77777777" w:rsidR="000307F5" w:rsidRPr="00525577" w:rsidRDefault="000307F5" w:rsidP="000307F5">
            <w:pPr>
              <w:rPr>
                <w:rFonts w:cstheme="minorHAnsi"/>
                <w:sz w:val="24"/>
                <w:szCs w:val="24"/>
              </w:rPr>
            </w:pPr>
          </w:p>
        </w:tc>
        <w:tc>
          <w:tcPr>
            <w:tcW w:w="1772" w:type="dxa"/>
            <w:shd w:val="clear" w:color="auto" w:fill="FFFFFF" w:themeFill="background1"/>
          </w:tcPr>
          <w:p w14:paraId="20810C7C" w14:textId="77777777" w:rsidR="000307F5" w:rsidRPr="00525577" w:rsidRDefault="000307F5" w:rsidP="000307F5">
            <w:pPr>
              <w:rPr>
                <w:rFonts w:cstheme="minorHAnsi"/>
                <w:sz w:val="24"/>
                <w:szCs w:val="24"/>
              </w:rPr>
            </w:pPr>
          </w:p>
        </w:tc>
        <w:tc>
          <w:tcPr>
            <w:tcW w:w="3557" w:type="dxa"/>
            <w:shd w:val="clear" w:color="auto" w:fill="FFFFFF" w:themeFill="background1"/>
          </w:tcPr>
          <w:p w14:paraId="11C8A6F6" w14:textId="21B2D6D6" w:rsidR="000307F5" w:rsidRPr="00525577" w:rsidRDefault="000307F5" w:rsidP="000307F5">
            <w:pPr>
              <w:jc w:val="center"/>
              <w:rPr>
                <w:rFonts w:cstheme="minorHAnsi"/>
                <w:b/>
                <w:bCs/>
                <w:sz w:val="24"/>
                <w:szCs w:val="24"/>
              </w:rPr>
            </w:pPr>
          </w:p>
        </w:tc>
      </w:tr>
      <w:tr w:rsidR="000307F5" w:rsidRPr="00525577" w14:paraId="6625590B" w14:textId="77777777" w:rsidTr="00B72B6A">
        <w:tc>
          <w:tcPr>
            <w:tcW w:w="926" w:type="dxa"/>
            <w:shd w:val="clear" w:color="auto" w:fill="FFFFFF" w:themeFill="background1"/>
          </w:tcPr>
          <w:p w14:paraId="4B85A7E0" w14:textId="5F4CC3FD" w:rsidR="000307F5" w:rsidRPr="00525577" w:rsidRDefault="000307F5" w:rsidP="000307F5">
            <w:pPr>
              <w:rPr>
                <w:sz w:val="24"/>
                <w:szCs w:val="24"/>
              </w:rPr>
            </w:pPr>
            <w:r w:rsidRPr="00525577">
              <w:rPr>
                <w:sz w:val="24"/>
                <w:szCs w:val="24"/>
              </w:rPr>
              <w:t>12.4</w:t>
            </w:r>
            <w:r w:rsidR="008F6329" w:rsidRPr="00525577">
              <w:rPr>
                <w:sz w:val="24"/>
                <w:szCs w:val="24"/>
              </w:rPr>
              <w:t>6</w:t>
            </w:r>
          </w:p>
        </w:tc>
        <w:tc>
          <w:tcPr>
            <w:tcW w:w="3547" w:type="dxa"/>
            <w:shd w:val="clear" w:color="auto" w:fill="FFFFFF" w:themeFill="background1"/>
          </w:tcPr>
          <w:p w14:paraId="618626D9" w14:textId="342198F3" w:rsidR="000307F5" w:rsidRPr="00525577" w:rsidRDefault="000307F5" w:rsidP="000307F5">
            <w:pPr>
              <w:rPr>
                <w:rFonts w:cstheme="minorHAnsi"/>
                <w:color w:val="000000"/>
                <w:sz w:val="24"/>
                <w:szCs w:val="24"/>
              </w:rPr>
            </w:pPr>
            <w:r w:rsidRPr="00525577">
              <w:rPr>
                <w:rFonts w:cstheme="minorHAnsi"/>
                <w:color w:val="000000"/>
                <w:sz w:val="24"/>
                <w:szCs w:val="24"/>
              </w:rPr>
              <w:t>The CMHSP maintains an organizational chart.</w:t>
            </w:r>
          </w:p>
        </w:tc>
        <w:tc>
          <w:tcPr>
            <w:tcW w:w="2615" w:type="dxa"/>
            <w:vMerge/>
            <w:shd w:val="clear" w:color="auto" w:fill="FFFFFF" w:themeFill="background1"/>
          </w:tcPr>
          <w:p w14:paraId="728D30F0"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2D9B6CC9" w14:textId="77777777" w:rsidR="000307F5" w:rsidRPr="00525577" w:rsidRDefault="000307F5" w:rsidP="000307F5">
            <w:pPr>
              <w:rPr>
                <w:rFonts w:cstheme="minorHAnsi"/>
                <w:sz w:val="24"/>
                <w:szCs w:val="24"/>
              </w:rPr>
            </w:pPr>
          </w:p>
        </w:tc>
        <w:tc>
          <w:tcPr>
            <w:tcW w:w="1772" w:type="dxa"/>
            <w:shd w:val="clear" w:color="auto" w:fill="FFFFFF" w:themeFill="background1"/>
          </w:tcPr>
          <w:p w14:paraId="3EA92FC4" w14:textId="77777777" w:rsidR="000307F5" w:rsidRPr="00525577" w:rsidRDefault="000307F5" w:rsidP="000307F5">
            <w:pPr>
              <w:rPr>
                <w:rFonts w:cstheme="minorHAnsi"/>
                <w:sz w:val="24"/>
                <w:szCs w:val="24"/>
              </w:rPr>
            </w:pPr>
          </w:p>
        </w:tc>
        <w:tc>
          <w:tcPr>
            <w:tcW w:w="3557" w:type="dxa"/>
            <w:shd w:val="clear" w:color="auto" w:fill="FFFFFF" w:themeFill="background1"/>
          </w:tcPr>
          <w:p w14:paraId="7B9A3662" w14:textId="2A5533D9" w:rsidR="000307F5" w:rsidRPr="00525577" w:rsidRDefault="000307F5" w:rsidP="000307F5">
            <w:pPr>
              <w:jc w:val="center"/>
              <w:rPr>
                <w:rFonts w:cstheme="minorHAnsi"/>
                <w:b/>
                <w:bCs/>
                <w:sz w:val="24"/>
                <w:szCs w:val="24"/>
              </w:rPr>
            </w:pPr>
          </w:p>
        </w:tc>
      </w:tr>
      <w:tr w:rsidR="000307F5" w:rsidRPr="00525577" w14:paraId="260CD65B" w14:textId="77777777" w:rsidTr="00B72B6A">
        <w:tc>
          <w:tcPr>
            <w:tcW w:w="926" w:type="dxa"/>
            <w:shd w:val="clear" w:color="auto" w:fill="FFFFFF" w:themeFill="background1"/>
          </w:tcPr>
          <w:p w14:paraId="194633ED" w14:textId="4E0C6A1F" w:rsidR="000307F5" w:rsidRPr="00525577" w:rsidRDefault="000307F5" w:rsidP="000307F5">
            <w:pPr>
              <w:rPr>
                <w:sz w:val="24"/>
                <w:szCs w:val="24"/>
              </w:rPr>
            </w:pPr>
            <w:r w:rsidRPr="00525577">
              <w:rPr>
                <w:sz w:val="24"/>
                <w:szCs w:val="24"/>
              </w:rPr>
              <w:t>12.4</w:t>
            </w:r>
            <w:r w:rsidR="008F6329" w:rsidRPr="00525577">
              <w:rPr>
                <w:sz w:val="24"/>
                <w:szCs w:val="24"/>
              </w:rPr>
              <w:t>7</w:t>
            </w:r>
          </w:p>
        </w:tc>
        <w:tc>
          <w:tcPr>
            <w:tcW w:w="3547" w:type="dxa"/>
            <w:shd w:val="clear" w:color="auto" w:fill="FFFFFF" w:themeFill="background1"/>
          </w:tcPr>
          <w:p w14:paraId="3542D5A7" w14:textId="0CD44965" w:rsidR="000307F5" w:rsidRPr="00525577" w:rsidRDefault="000307F5" w:rsidP="000307F5">
            <w:pPr>
              <w:rPr>
                <w:rFonts w:cstheme="minorHAnsi"/>
                <w:color w:val="000000"/>
                <w:sz w:val="24"/>
                <w:szCs w:val="24"/>
              </w:rPr>
            </w:pPr>
            <w:r w:rsidRPr="00525577">
              <w:rPr>
                <w:rFonts w:cstheme="minorHAnsi"/>
                <w:color w:val="000000"/>
                <w:sz w:val="24"/>
                <w:szCs w:val="24"/>
              </w:rPr>
              <w:t>The CMHSP maintains a network diagram including an overview of the current network topology.</w:t>
            </w:r>
          </w:p>
        </w:tc>
        <w:tc>
          <w:tcPr>
            <w:tcW w:w="2615" w:type="dxa"/>
            <w:vMerge/>
            <w:shd w:val="clear" w:color="auto" w:fill="FFFFFF" w:themeFill="background1"/>
          </w:tcPr>
          <w:p w14:paraId="600B373D"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29531B9E" w14:textId="77777777" w:rsidR="000307F5" w:rsidRPr="00525577" w:rsidRDefault="000307F5" w:rsidP="000307F5">
            <w:pPr>
              <w:rPr>
                <w:rFonts w:cstheme="minorHAnsi"/>
                <w:sz w:val="24"/>
                <w:szCs w:val="24"/>
              </w:rPr>
            </w:pPr>
          </w:p>
        </w:tc>
        <w:tc>
          <w:tcPr>
            <w:tcW w:w="1772" w:type="dxa"/>
            <w:shd w:val="clear" w:color="auto" w:fill="FFFFFF" w:themeFill="background1"/>
          </w:tcPr>
          <w:p w14:paraId="74574AEC" w14:textId="77777777" w:rsidR="000307F5" w:rsidRPr="00525577" w:rsidRDefault="000307F5" w:rsidP="000307F5">
            <w:pPr>
              <w:rPr>
                <w:rFonts w:cstheme="minorHAnsi"/>
                <w:sz w:val="24"/>
                <w:szCs w:val="24"/>
              </w:rPr>
            </w:pPr>
          </w:p>
        </w:tc>
        <w:tc>
          <w:tcPr>
            <w:tcW w:w="3557" w:type="dxa"/>
            <w:shd w:val="clear" w:color="auto" w:fill="FFFFFF" w:themeFill="background1"/>
          </w:tcPr>
          <w:p w14:paraId="53E2275C" w14:textId="7AF529E5" w:rsidR="000307F5" w:rsidRPr="00525577" w:rsidRDefault="000307F5" w:rsidP="000307F5">
            <w:pPr>
              <w:jc w:val="center"/>
              <w:rPr>
                <w:rFonts w:cstheme="minorHAnsi"/>
                <w:b/>
                <w:bCs/>
                <w:sz w:val="24"/>
                <w:szCs w:val="24"/>
              </w:rPr>
            </w:pPr>
          </w:p>
        </w:tc>
      </w:tr>
      <w:tr w:rsidR="000307F5" w:rsidRPr="00525577" w14:paraId="214AC341" w14:textId="77777777" w:rsidTr="00B72B6A">
        <w:tc>
          <w:tcPr>
            <w:tcW w:w="926" w:type="dxa"/>
            <w:shd w:val="clear" w:color="auto" w:fill="FFFFFF" w:themeFill="background1"/>
          </w:tcPr>
          <w:p w14:paraId="73C0B998" w14:textId="73F4C1C0" w:rsidR="000307F5" w:rsidRPr="00525577" w:rsidRDefault="000307F5" w:rsidP="000307F5">
            <w:pPr>
              <w:rPr>
                <w:sz w:val="24"/>
                <w:szCs w:val="24"/>
              </w:rPr>
            </w:pPr>
            <w:r w:rsidRPr="00525577">
              <w:rPr>
                <w:sz w:val="24"/>
                <w:szCs w:val="24"/>
              </w:rPr>
              <w:t>12.4</w:t>
            </w:r>
            <w:r w:rsidR="008F6329" w:rsidRPr="00525577">
              <w:rPr>
                <w:sz w:val="24"/>
                <w:szCs w:val="24"/>
              </w:rPr>
              <w:t>8</w:t>
            </w:r>
          </w:p>
        </w:tc>
        <w:tc>
          <w:tcPr>
            <w:tcW w:w="3547" w:type="dxa"/>
            <w:shd w:val="clear" w:color="auto" w:fill="FFFFFF" w:themeFill="background1"/>
          </w:tcPr>
          <w:p w14:paraId="439CF6BA" w14:textId="078D6C52" w:rsidR="000307F5" w:rsidRPr="00525577" w:rsidRDefault="000307F5" w:rsidP="000307F5">
            <w:pPr>
              <w:rPr>
                <w:rFonts w:cstheme="minorHAnsi"/>
                <w:color w:val="000000"/>
                <w:sz w:val="24"/>
                <w:szCs w:val="24"/>
              </w:rPr>
            </w:pPr>
            <w:r w:rsidRPr="00525577">
              <w:rPr>
                <w:rFonts w:cstheme="minorHAnsi"/>
                <w:color w:val="000000"/>
                <w:sz w:val="24"/>
                <w:szCs w:val="24"/>
              </w:rPr>
              <w:t>The CMHSP maintains an updated hardware inventory including location and/or who is responsible for each hardware item.</w:t>
            </w:r>
          </w:p>
        </w:tc>
        <w:tc>
          <w:tcPr>
            <w:tcW w:w="2615" w:type="dxa"/>
            <w:vMerge/>
            <w:shd w:val="clear" w:color="auto" w:fill="FFFFFF" w:themeFill="background1"/>
          </w:tcPr>
          <w:p w14:paraId="77B216CF"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0621E9DB" w14:textId="77777777" w:rsidR="000307F5" w:rsidRPr="00525577" w:rsidRDefault="000307F5" w:rsidP="000307F5">
            <w:pPr>
              <w:rPr>
                <w:rFonts w:cstheme="minorHAnsi"/>
                <w:sz w:val="24"/>
                <w:szCs w:val="24"/>
              </w:rPr>
            </w:pPr>
          </w:p>
        </w:tc>
        <w:tc>
          <w:tcPr>
            <w:tcW w:w="1772" w:type="dxa"/>
            <w:shd w:val="clear" w:color="auto" w:fill="FFFFFF" w:themeFill="background1"/>
          </w:tcPr>
          <w:p w14:paraId="5E152457" w14:textId="77777777" w:rsidR="000307F5" w:rsidRPr="00525577" w:rsidRDefault="000307F5" w:rsidP="000307F5">
            <w:pPr>
              <w:rPr>
                <w:rFonts w:cstheme="minorHAnsi"/>
                <w:sz w:val="24"/>
                <w:szCs w:val="24"/>
              </w:rPr>
            </w:pPr>
          </w:p>
        </w:tc>
        <w:tc>
          <w:tcPr>
            <w:tcW w:w="3557" w:type="dxa"/>
            <w:shd w:val="clear" w:color="auto" w:fill="FFFFFF" w:themeFill="background1"/>
          </w:tcPr>
          <w:p w14:paraId="6C1FF6C5" w14:textId="5DEA275E" w:rsidR="000307F5" w:rsidRPr="00525577" w:rsidRDefault="000307F5" w:rsidP="000307F5">
            <w:pPr>
              <w:jc w:val="center"/>
              <w:rPr>
                <w:rFonts w:cstheme="minorHAnsi"/>
                <w:b/>
                <w:bCs/>
                <w:color w:val="FF0000"/>
                <w:sz w:val="24"/>
                <w:szCs w:val="24"/>
              </w:rPr>
            </w:pPr>
          </w:p>
        </w:tc>
      </w:tr>
      <w:tr w:rsidR="000307F5" w:rsidRPr="00525577" w14:paraId="161BB15C" w14:textId="77777777" w:rsidTr="00D60439">
        <w:tc>
          <w:tcPr>
            <w:tcW w:w="14263" w:type="dxa"/>
            <w:gridSpan w:val="6"/>
          </w:tcPr>
          <w:p w14:paraId="656606B1" w14:textId="40D59CB8" w:rsidR="000307F5" w:rsidRPr="00525577" w:rsidRDefault="000307F5" w:rsidP="000307F5">
            <w:pPr>
              <w:rPr>
                <w:b/>
                <w:sz w:val="24"/>
                <w:szCs w:val="24"/>
              </w:rPr>
            </w:pPr>
            <w:r w:rsidRPr="00525577">
              <w:rPr>
                <w:b/>
                <w:sz w:val="24"/>
                <w:szCs w:val="24"/>
              </w:rPr>
              <w:t xml:space="preserve">Workstation, Device, and System </w:t>
            </w:r>
            <w:r w:rsidR="00D60439" w:rsidRPr="00525577">
              <w:rPr>
                <w:b/>
                <w:sz w:val="24"/>
                <w:szCs w:val="24"/>
              </w:rPr>
              <w:t xml:space="preserve">Security </w:t>
            </w:r>
          </w:p>
        </w:tc>
      </w:tr>
      <w:tr w:rsidR="000307F5" w:rsidRPr="00525577" w14:paraId="5BB63FAC" w14:textId="77777777" w:rsidTr="00B72B6A">
        <w:tc>
          <w:tcPr>
            <w:tcW w:w="926" w:type="dxa"/>
            <w:shd w:val="clear" w:color="auto" w:fill="FFFFFF" w:themeFill="background1"/>
          </w:tcPr>
          <w:p w14:paraId="4FD76C38" w14:textId="1D2626C3" w:rsidR="000307F5" w:rsidRPr="00525577" w:rsidRDefault="000307F5" w:rsidP="000307F5">
            <w:pPr>
              <w:rPr>
                <w:sz w:val="24"/>
                <w:szCs w:val="24"/>
              </w:rPr>
            </w:pPr>
            <w:r w:rsidRPr="00525577">
              <w:rPr>
                <w:sz w:val="24"/>
                <w:szCs w:val="24"/>
              </w:rPr>
              <w:t>12.4</w:t>
            </w:r>
            <w:r w:rsidR="008F6329" w:rsidRPr="00525577">
              <w:rPr>
                <w:sz w:val="24"/>
                <w:szCs w:val="24"/>
              </w:rPr>
              <w:t>9</w:t>
            </w:r>
          </w:p>
        </w:tc>
        <w:tc>
          <w:tcPr>
            <w:tcW w:w="3547" w:type="dxa"/>
            <w:shd w:val="clear" w:color="auto" w:fill="FFFFFF" w:themeFill="background1"/>
          </w:tcPr>
          <w:p w14:paraId="045BE389" w14:textId="77777777" w:rsidR="000307F5" w:rsidRPr="00525577" w:rsidRDefault="000307F5" w:rsidP="000307F5">
            <w:pPr>
              <w:rPr>
                <w:rFonts w:cstheme="minorHAnsi"/>
                <w:color w:val="000000"/>
                <w:sz w:val="24"/>
                <w:szCs w:val="24"/>
              </w:rPr>
            </w:pPr>
            <w:proofErr w:type="gramStart"/>
            <w:r w:rsidRPr="00525577">
              <w:rPr>
                <w:rFonts w:cstheme="minorHAnsi"/>
                <w:color w:val="000000"/>
                <w:sz w:val="24"/>
                <w:szCs w:val="24"/>
              </w:rPr>
              <w:t>The CMSHP</w:t>
            </w:r>
            <w:proofErr w:type="gramEnd"/>
            <w:r w:rsidRPr="00525577">
              <w:rPr>
                <w:rFonts w:cstheme="minorHAnsi"/>
                <w:color w:val="000000"/>
                <w:sz w:val="24"/>
                <w:szCs w:val="24"/>
              </w:rPr>
              <w:t xml:space="preserve"> has workstation use policies or procedures in place for devices accessing PHI.</w:t>
            </w:r>
          </w:p>
          <w:p w14:paraId="165F6E0C" w14:textId="77777777" w:rsidR="000307F5" w:rsidRPr="00525577" w:rsidRDefault="000307F5" w:rsidP="000307F5">
            <w:pPr>
              <w:rPr>
                <w:rFonts w:cstheme="minorHAnsi"/>
                <w:color w:val="000000"/>
                <w:sz w:val="24"/>
                <w:szCs w:val="24"/>
              </w:rPr>
            </w:pPr>
          </w:p>
        </w:tc>
        <w:tc>
          <w:tcPr>
            <w:tcW w:w="2615" w:type="dxa"/>
            <w:shd w:val="clear" w:color="auto" w:fill="FFFFFF" w:themeFill="background1"/>
          </w:tcPr>
          <w:p w14:paraId="154ECF19" w14:textId="2EF0744C" w:rsidR="000307F5" w:rsidRPr="00525577" w:rsidRDefault="000307F5" w:rsidP="000307F5">
            <w:pPr>
              <w:rPr>
                <w:rFonts w:cstheme="minorHAnsi"/>
                <w:color w:val="000000"/>
                <w:sz w:val="24"/>
                <w:szCs w:val="24"/>
              </w:rPr>
            </w:pPr>
            <w:r w:rsidRPr="00525577">
              <w:rPr>
                <w:rFonts w:cstheme="minorHAnsi"/>
                <w:color w:val="000000"/>
                <w:sz w:val="24"/>
                <w:szCs w:val="24"/>
              </w:rPr>
              <w:t xml:space="preserve">HIPAA Security and Privacy, 45 CFR Parts 160 &amp; 164 Subparts A, B, C, D, </w:t>
            </w:r>
            <w:proofErr w:type="gramStart"/>
            <w:r w:rsidRPr="00525577">
              <w:rPr>
                <w:rFonts w:cstheme="minorHAnsi"/>
                <w:color w:val="000000"/>
                <w:sz w:val="24"/>
                <w:szCs w:val="24"/>
              </w:rPr>
              <w:t>E;</w:t>
            </w:r>
            <w:proofErr w:type="gramEnd"/>
            <w:r w:rsidRPr="00525577">
              <w:rPr>
                <w:rFonts w:cstheme="minorHAnsi"/>
                <w:color w:val="000000"/>
                <w:sz w:val="24"/>
                <w:szCs w:val="24"/>
              </w:rPr>
              <w:t xml:space="preserve"> </w:t>
            </w:r>
          </w:p>
          <w:p w14:paraId="3E44D365" w14:textId="77777777" w:rsidR="000307F5" w:rsidRPr="00525577" w:rsidRDefault="000307F5" w:rsidP="000307F5">
            <w:pPr>
              <w:rPr>
                <w:rFonts w:cstheme="minorHAnsi"/>
                <w:color w:val="000000"/>
                <w:sz w:val="24"/>
                <w:szCs w:val="24"/>
              </w:rPr>
            </w:pPr>
          </w:p>
          <w:p w14:paraId="660D83B2" w14:textId="24C6E4A8" w:rsidR="000307F5" w:rsidRPr="00525577" w:rsidRDefault="000307F5" w:rsidP="000307F5">
            <w:pPr>
              <w:rPr>
                <w:rFonts w:cstheme="minorHAnsi"/>
                <w:color w:val="000000"/>
                <w:sz w:val="24"/>
                <w:szCs w:val="24"/>
              </w:rPr>
            </w:pPr>
            <w:r w:rsidRPr="00525577">
              <w:rPr>
                <w:rFonts w:cstheme="minorHAnsi"/>
                <w:color w:val="000000"/>
                <w:sz w:val="24"/>
                <w:szCs w:val="24"/>
              </w:rPr>
              <w:t xml:space="preserve">LRE/CMHSP Participant contract delegation grid; Commonly accepted IT practices </w:t>
            </w:r>
          </w:p>
        </w:tc>
        <w:tc>
          <w:tcPr>
            <w:tcW w:w="1846" w:type="dxa"/>
            <w:shd w:val="clear" w:color="auto" w:fill="FFFFFF" w:themeFill="background1"/>
          </w:tcPr>
          <w:p w14:paraId="2F822C7D" w14:textId="77777777" w:rsidR="000307F5" w:rsidRPr="00525577" w:rsidRDefault="000307F5" w:rsidP="000307F5">
            <w:pPr>
              <w:rPr>
                <w:rFonts w:cstheme="minorHAnsi"/>
                <w:sz w:val="24"/>
                <w:szCs w:val="24"/>
              </w:rPr>
            </w:pPr>
          </w:p>
        </w:tc>
        <w:tc>
          <w:tcPr>
            <w:tcW w:w="1772" w:type="dxa"/>
            <w:shd w:val="clear" w:color="auto" w:fill="FFFFFF" w:themeFill="background1"/>
          </w:tcPr>
          <w:p w14:paraId="2FF195AC" w14:textId="77777777" w:rsidR="000307F5" w:rsidRPr="00525577" w:rsidRDefault="000307F5" w:rsidP="000307F5">
            <w:pPr>
              <w:rPr>
                <w:rFonts w:cstheme="minorHAnsi"/>
                <w:sz w:val="24"/>
                <w:szCs w:val="24"/>
              </w:rPr>
            </w:pPr>
          </w:p>
        </w:tc>
        <w:tc>
          <w:tcPr>
            <w:tcW w:w="3557" w:type="dxa"/>
            <w:shd w:val="clear" w:color="auto" w:fill="FFFFFF" w:themeFill="background1"/>
          </w:tcPr>
          <w:p w14:paraId="6207AE4A" w14:textId="7D150947" w:rsidR="000307F5" w:rsidRPr="00525577" w:rsidRDefault="000307F5" w:rsidP="000307F5">
            <w:pPr>
              <w:jc w:val="center"/>
              <w:rPr>
                <w:rFonts w:cstheme="minorHAnsi"/>
                <w:b/>
                <w:bCs/>
                <w:color w:val="FF0000"/>
                <w:sz w:val="24"/>
                <w:szCs w:val="24"/>
              </w:rPr>
            </w:pPr>
          </w:p>
        </w:tc>
      </w:tr>
      <w:tr w:rsidR="000307F5" w:rsidRPr="00525577" w14:paraId="706B6E63" w14:textId="77777777" w:rsidTr="00B72B6A">
        <w:tc>
          <w:tcPr>
            <w:tcW w:w="926" w:type="dxa"/>
            <w:shd w:val="clear" w:color="auto" w:fill="FFFFFF" w:themeFill="background1"/>
          </w:tcPr>
          <w:p w14:paraId="43FCEF95" w14:textId="3CCF3450" w:rsidR="000307F5" w:rsidRPr="00525577" w:rsidRDefault="000307F5" w:rsidP="000307F5">
            <w:pPr>
              <w:rPr>
                <w:sz w:val="24"/>
                <w:szCs w:val="24"/>
              </w:rPr>
            </w:pPr>
            <w:r w:rsidRPr="00525577">
              <w:rPr>
                <w:sz w:val="24"/>
                <w:szCs w:val="24"/>
              </w:rPr>
              <w:t>12.</w:t>
            </w:r>
            <w:r w:rsidR="008F6329" w:rsidRPr="00525577">
              <w:rPr>
                <w:sz w:val="24"/>
                <w:szCs w:val="24"/>
              </w:rPr>
              <w:t>50</w:t>
            </w:r>
          </w:p>
        </w:tc>
        <w:tc>
          <w:tcPr>
            <w:tcW w:w="3547" w:type="dxa"/>
            <w:shd w:val="clear" w:color="auto" w:fill="FFFFFF" w:themeFill="background1"/>
          </w:tcPr>
          <w:p w14:paraId="59801127" w14:textId="31E1CEDC" w:rsidR="000307F5" w:rsidRPr="00525577" w:rsidRDefault="000307F5" w:rsidP="000307F5">
            <w:pPr>
              <w:rPr>
                <w:rFonts w:cstheme="minorHAnsi"/>
                <w:color w:val="000000"/>
                <w:sz w:val="24"/>
                <w:szCs w:val="24"/>
              </w:rPr>
            </w:pPr>
            <w:proofErr w:type="gramStart"/>
            <w:r w:rsidRPr="00525577">
              <w:rPr>
                <w:rFonts w:cstheme="minorHAnsi"/>
                <w:color w:val="000000"/>
                <w:sz w:val="24"/>
                <w:szCs w:val="24"/>
              </w:rPr>
              <w:t>The CMSHP</w:t>
            </w:r>
            <w:proofErr w:type="gramEnd"/>
            <w:r w:rsidRPr="00525577">
              <w:rPr>
                <w:rFonts w:cstheme="minorHAnsi"/>
                <w:color w:val="000000"/>
                <w:sz w:val="24"/>
                <w:szCs w:val="24"/>
              </w:rPr>
              <w:t xml:space="preserve"> has acceptable use policies or procedures in place for users accessing PHI.</w:t>
            </w:r>
          </w:p>
        </w:tc>
        <w:tc>
          <w:tcPr>
            <w:tcW w:w="2615" w:type="dxa"/>
            <w:vMerge w:val="restart"/>
            <w:shd w:val="clear" w:color="auto" w:fill="FFFFFF" w:themeFill="background1"/>
          </w:tcPr>
          <w:p w14:paraId="1903F244" w14:textId="3306BFD8" w:rsidR="000307F5" w:rsidRPr="00525577" w:rsidRDefault="000307F5" w:rsidP="000307F5">
            <w:pPr>
              <w:rPr>
                <w:color w:val="000000"/>
                <w:sz w:val="24"/>
                <w:szCs w:val="24"/>
              </w:rPr>
            </w:pPr>
            <w:r w:rsidRPr="00525577">
              <w:rPr>
                <w:color w:val="000000" w:themeColor="text1"/>
                <w:sz w:val="24"/>
                <w:szCs w:val="24"/>
              </w:rPr>
              <w:t xml:space="preserve">HIPAA Security and Privacy, 45 CFR Parts 160 &amp; 164 Subparts A, B, C, D, </w:t>
            </w:r>
            <w:proofErr w:type="gramStart"/>
            <w:r w:rsidRPr="00525577">
              <w:rPr>
                <w:color w:val="000000" w:themeColor="text1"/>
                <w:sz w:val="24"/>
                <w:szCs w:val="24"/>
              </w:rPr>
              <w:t>E;</w:t>
            </w:r>
            <w:proofErr w:type="gramEnd"/>
            <w:r w:rsidRPr="00525577">
              <w:rPr>
                <w:color w:val="000000" w:themeColor="text1"/>
                <w:sz w:val="24"/>
                <w:szCs w:val="24"/>
              </w:rPr>
              <w:t xml:space="preserve"> </w:t>
            </w:r>
          </w:p>
          <w:p w14:paraId="3ADAFD38" w14:textId="77777777" w:rsidR="000307F5" w:rsidRPr="00525577" w:rsidRDefault="000307F5" w:rsidP="000307F5">
            <w:pPr>
              <w:rPr>
                <w:color w:val="000000" w:themeColor="text1"/>
                <w:sz w:val="24"/>
                <w:szCs w:val="24"/>
              </w:rPr>
            </w:pPr>
          </w:p>
          <w:p w14:paraId="5D6306CC" w14:textId="3D671466" w:rsidR="000307F5" w:rsidRPr="00525577" w:rsidRDefault="000307F5" w:rsidP="000307F5">
            <w:pPr>
              <w:rPr>
                <w:color w:val="000000"/>
                <w:sz w:val="24"/>
                <w:szCs w:val="24"/>
              </w:rPr>
            </w:pPr>
            <w:r w:rsidRPr="00525577">
              <w:rPr>
                <w:color w:val="000000" w:themeColor="text1"/>
                <w:sz w:val="24"/>
                <w:szCs w:val="24"/>
              </w:rPr>
              <w:t xml:space="preserve">LRE/CMHSP Participant contract delegation grid; Commonly accepted IT practices </w:t>
            </w:r>
          </w:p>
          <w:p w14:paraId="211EDFD5"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387DBFFA" w14:textId="77777777" w:rsidR="000307F5" w:rsidRPr="00525577" w:rsidRDefault="000307F5" w:rsidP="000307F5">
            <w:pPr>
              <w:rPr>
                <w:rFonts w:cstheme="minorHAnsi"/>
                <w:sz w:val="24"/>
                <w:szCs w:val="24"/>
              </w:rPr>
            </w:pPr>
          </w:p>
        </w:tc>
        <w:tc>
          <w:tcPr>
            <w:tcW w:w="1772" w:type="dxa"/>
            <w:shd w:val="clear" w:color="auto" w:fill="FFFFFF" w:themeFill="background1"/>
          </w:tcPr>
          <w:p w14:paraId="4B3AAC3E" w14:textId="77777777" w:rsidR="000307F5" w:rsidRPr="00525577" w:rsidRDefault="000307F5" w:rsidP="000307F5">
            <w:pPr>
              <w:rPr>
                <w:rFonts w:cstheme="minorHAnsi"/>
                <w:sz w:val="24"/>
                <w:szCs w:val="24"/>
              </w:rPr>
            </w:pPr>
          </w:p>
        </w:tc>
        <w:tc>
          <w:tcPr>
            <w:tcW w:w="3557" w:type="dxa"/>
            <w:shd w:val="clear" w:color="auto" w:fill="FFFFFF" w:themeFill="background1"/>
          </w:tcPr>
          <w:p w14:paraId="24EE98DF" w14:textId="0DB53DEB" w:rsidR="000307F5" w:rsidRPr="00525577" w:rsidRDefault="000307F5" w:rsidP="000307F5">
            <w:pPr>
              <w:jc w:val="center"/>
              <w:rPr>
                <w:rFonts w:cstheme="minorHAnsi"/>
                <w:b/>
                <w:bCs/>
                <w:color w:val="FF0000"/>
                <w:sz w:val="24"/>
                <w:szCs w:val="24"/>
              </w:rPr>
            </w:pPr>
          </w:p>
        </w:tc>
      </w:tr>
      <w:tr w:rsidR="000307F5" w:rsidRPr="00525577" w14:paraId="46B706F4" w14:textId="77777777" w:rsidTr="00B72B6A">
        <w:tc>
          <w:tcPr>
            <w:tcW w:w="926" w:type="dxa"/>
            <w:shd w:val="clear" w:color="auto" w:fill="FFFFFF" w:themeFill="background1"/>
          </w:tcPr>
          <w:p w14:paraId="46DD9609" w14:textId="05EA1AE5" w:rsidR="000307F5" w:rsidRPr="00525577" w:rsidRDefault="000307F5" w:rsidP="000307F5">
            <w:pPr>
              <w:rPr>
                <w:sz w:val="24"/>
                <w:szCs w:val="24"/>
              </w:rPr>
            </w:pPr>
            <w:r w:rsidRPr="00525577">
              <w:rPr>
                <w:sz w:val="24"/>
                <w:szCs w:val="24"/>
              </w:rPr>
              <w:t>12.</w:t>
            </w:r>
            <w:r w:rsidR="00247268" w:rsidRPr="00525577">
              <w:rPr>
                <w:sz w:val="24"/>
                <w:szCs w:val="24"/>
              </w:rPr>
              <w:t>51</w:t>
            </w:r>
          </w:p>
        </w:tc>
        <w:tc>
          <w:tcPr>
            <w:tcW w:w="3547" w:type="dxa"/>
            <w:shd w:val="clear" w:color="auto" w:fill="FFFFFF" w:themeFill="background1"/>
          </w:tcPr>
          <w:p w14:paraId="3DD1BAB3" w14:textId="1E4BBE5A" w:rsidR="000307F5" w:rsidRPr="00525577" w:rsidRDefault="000307F5" w:rsidP="000307F5">
            <w:pPr>
              <w:rPr>
                <w:rFonts w:cstheme="minorHAnsi"/>
                <w:color w:val="000000"/>
                <w:sz w:val="24"/>
                <w:szCs w:val="24"/>
              </w:rPr>
            </w:pPr>
            <w:r w:rsidRPr="00525577">
              <w:rPr>
                <w:rFonts w:cstheme="minorHAnsi"/>
                <w:color w:val="000000"/>
                <w:sz w:val="24"/>
                <w:szCs w:val="24"/>
              </w:rPr>
              <w:t>The CMHSP manages a firewall and uses VLANs to prevent unauthorized remote access to systems.</w:t>
            </w:r>
          </w:p>
        </w:tc>
        <w:tc>
          <w:tcPr>
            <w:tcW w:w="2615" w:type="dxa"/>
            <w:vMerge/>
            <w:shd w:val="clear" w:color="auto" w:fill="FFFFFF" w:themeFill="background1"/>
          </w:tcPr>
          <w:p w14:paraId="31F4404B"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025339DE" w14:textId="77777777" w:rsidR="000307F5" w:rsidRPr="00525577" w:rsidRDefault="000307F5" w:rsidP="000307F5">
            <w:pPr>
              <w:rPr>
                <w:rFonts w:cstheme="minorHAnsi"/>
                <w:sz w:val="24"/>
                <w:szCs w:val="24"/>
              </w:rPr>
            </w:pPr>
          </w:p>
        </w:tc>
        <w:tc>
          <w:tcPr>
            <w:tcW w:w="1772" w:type="dxa"/>
            <w:shd w:val="clear" w:color="auto" w:fill="FFFFFF" w:themeFill="background1"/>
          </w:tcPr>
          <w:p w14:paraId="4DDFAB1A" w14:textId="77777777" w:rsidR="000307F5" w:rsidRPr="00525577" w:rsidRDefault="000307F5" w:rsidP="000307F5">
            <w:pPr>
              <w:rPr>
                <w:rFonts w:cstheme="minorHAnsi"/>
                <w:sz w:val="24"/>
                <w:szCs w:val="24"/>
              </w:rPr>
            </w:pPr>
          </w:p>
        </w:tc>
        <w:tc>
          <w:tcPr>
            <w:tcW w:w="3557" w:type="dxa"/>
            <w:shd w:val="clear" w:color="auto" w:fill="FFFFFF" w:themeFill="background1"/>
          </w:tcPr>
          <w:p w14:paraId="18B3D9CB" w14:textId="52010F4F" w:rsidR="000307F5" w:rsidRPr="00525577" w:rsidRDefault="000307F5" w:rsidP="000307F5">
            <w:pPr>
              <w:jc w:val="center"/>
              <w:rPr>
                <w:rFonts w:cstheme="minorHAnsi"/>
                <w:b/>
                <w:bCs/>
                <w:color w:val="FF0000"/>
                <w:sz w:val="24"/>
                <w:szCs w:val="24"/>
              </w:rPr>
            </w:pPr>
          </w:p>
        </w:tc>
      </w:tr>
      <w:tr w:rsidR="000307F5" w:rsidRPr="00525577" w14:paraId="0739955E" w14:textId="77777777" w:rsidTr="00B72B6A">
        <w:tc>
          <w:tcPr>
            <w:tcW w:w="926" w:type="dxa"/>
            <w:shd w:val="clear" w:color="auto" w:fill="FFFFFF" w:themeFill="background1"/>
          </w:tcPr>
          <w:p w14:paraId="70526F47" w14:textId="7C52E5D0" w:rsidR="000307F5" w:rsidRPr="00525577" w:rsidRDefault="000307F5" w:rsidP="000307F5">
            <w:pPr>
              <w:rPr>
                <w:sz w:val="24"/>
                <w:szCs w:val="24"/>
              </w:rPr>
            </w:pPr>
            <w:r w:rsidRPr="00525577">
              <w:rPr>
                <w:sz w:val="24"/>
                <w:szCs w:val="24"/>
              </w:rPr>
              <w:t>12.5</w:t>
            </w:r>
            <w:r w:rsidR="00247268" w:rsidRPr="00525577">
              <w:rPr>
                <w:sz w:val="24"/>
                <w:szCs w:val="24"/>
              </w:rPr>
              <w:t>2</w:t>
            </w:r>
          </w:p>
        </w:tc>
        <w:tc>
          <w:tcPr>
            <w:tcW w:w="3547" w:type="dxa"/>
            <w:shd w:val="clear" w:color="auto" w:fill="FFFFFF" w:themeFill="background1"/>
          </w:tcPr>
          <w:p w14:paraId="2583E4F1" w14:textId="1BAD9041" w:rsidR="000307F5" w:rsidRPr="00525577" w:rsidRDefault="000307F5" w:rsidP="007877AE">
            <w:pPr>
              <w:rPr>
                <w:rFonts w:cstheme="minorHAnsi"/>
                <w:color w:val="000000"/>
                <w:sz w:val="24"/>
                <w:szCs w:val="24"/>
              </w:rPr>
            </w:pPr>
            <w:r w:rsidRPr="00525577">
              <w:rPr>
                <w:rFonts w:cstheme="minorHAnsi"/>
                <w:color w:val="000000"/>
                <w:sz w:val="24"/>
                <w:szCs w:val="24"/>
              </w:rPr>
              <w:t>Physical security measures are in place to restrict access to non-user IT resources. (ex. servers, network equipment, datacenters)</w:t>
            </w:r>
          </w:p>
        </w:tc>
        <w:tc>
          <w:tcPr>
            <w:tcW w:w="2615" w:type="dxa"/>
            <w:vMerge/>
            <w:shd w:val="clear" w:color="auto" w:fill="FFFFFF" w:themeFill="background1"/>
          </w:tcPr>
          <w:p w14:paraId="4FF2A5A0"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2AC8CE2F" w14:textId="77777777" w:rsidR="000307F5" w:rsidRPr="00525577" w:rsidRDefault="000307F5" w:rsidP="000307F5">
            <w:pPr>
              <w:rPr>
                <w:rFonts w:cstheme="minorHAnsi"/>
                <w:sz w:val="24"/>
                <w:szCs w:val="24"/>
              </w:rPr>
            </w:pPr>
          </w:p>
        </w:tc>
        <w:tc>
          <w:tcPr>
            <w:tcW w:w="1772" w:type="dxa"/>
            <w:shd w:val="clear" w:color="auto" w:fill="FFFFFF" w:themeFill="background1"/>
          </w:tcPr>
          <w:p w14:paraId="749A997E" w14:textId="77777777" w:rsidR="000307F5" w:rsidRPr="00525577" w:rsidRDefault="000307F5" w:rsidP="000307F5">
            <w:pPr>
              <w:rPr>
                <w:rFonts w:cstheme="minorHAnsi"/>
                <w:sz w:val="24"/>
                <w:szCs w:val="24"/>
              </w:rPr>
            </w:pPr>
          </w:p>
        </w:tc>
        <w:tc>
          <w:tcPr>
            <w:tcW w:w="3557" w:type="dxa"/>
            <w:shd w:val="clear" w:color="auto" w:fill="FFFFFF" w:themeFill="background1"/>
          </w:tcPr>
          <w:p w14:paraId="69FF6E5B" w14:textId="7FB4B141" w:rsidR="000307F5" w:rsidRPr="00525577" w:rsidRDefault="000307F5" w:rsidP="000307F5">
            <w:pPr>
              <w:jc w:val="center"/>
              <w:rPr>
                <w:rFonts w:cstheme="minorHAnsi"/>
                <w:b/>
                <w:bCs/>
                <w:color w:val="FF0000"/>
                <w:sz w:val="24"/>
                <w:szCs w:val="24"/>
              </w:rPr>
            </w:pPr>
          </w:p>
        </w:tc>
      </w:tr>
      <w:tr w:rsidR="000307F5" w:rsidRPr="00525577" w14:paraId="51992346" w14:textId="77777777" w:rsidTr="00B72B6A">
        <w:tc>
          <w:tcPr>
            <w:tcW w:w="926" w:type="dxa"/>
            <w:shd w:val="clear" w:color="auto" w:fill="FFFFFF" w:themeFill="background1"/>
          </w:tcPr>
          <w:p w14:paraId="554C0CA4" w14:textId="0B418336" w:rsidR="000307F5" w:rsidRPr="00525577" w:rsidRDefault="000307F5" w:rsidP="000307F5">
            <w:pPr>
              <w:rPr>
                <w:sz w:val="24"/>
                <w:szCs w:val="24"/>
              </w:rPr>
            </w:pPr>
            <w:r w:rsidRPr="00525577">
              <w:rPr>
                <w:sz w:val="24"/>
                <w:szCs w:val="24"/>
              </w:rPr>
              <w:t>12.5</w:t>
            </w:r>
            <w:r w:rsidR="00247268" w:rsidRPr="00525577">
              <w:rPr>
                <w:sz w:val="24"/>
                <w:szCs w:val="24"/>
              </w:rPr>
              <w:t>3</w:t>
            </w:r>
          </w:p>
        </w:tc>
        <w:tc>
          <w:tcPr>
            <w:tcW w:w="3547" w:type="dxa"/>
            <w:shd w:val="clear" w:color="auto" w:fill="FFFFFF" w:themeFill="background1"/>
          </w:tcPr>
          <w:p w14:paraId="618DD5DB" w14:textId="033E0008" w:rsidR="000307F5" w:rsidRPr="00525577" w:rsidRDefault="000307F5" w:rsidP="000307F5">
            <w:pPr>
              <w:rPr>
                <w:rFonts w:cstheme="minorHAnsi"/>
                <w:color w:val="000000"/>
                <w:sz w:val="24"/>
                <w:szCs w:val="24"/>
              </w:rPr>
            </w:pPr>
            <w:r w:rsidRPr="00525577">
              <w:rPr>
                <w:rFonts w:cstheme="minorHAnsi"/>
                <w:color w:val="000000"/>
                <w:sz w:val="24"/>
                <w:szCs w:val="24"/>
              </w:rPr>
              <w:t>A password policy is in place for authenticating access to system resources containing PHI.</w:t>
            </w:r>
          </w:p>
        </w:tc>
        <w:tc>
          <w:tcPr>
            <w:tcW w:w="2615" w:type="dxa"/>
            <w:vMerge/>
            <w:shd w:val="clear" w:color="auto" w:fill="FFFFFF" w:themeFill="background1"/>
          </w:tcPr>
          <w:p w14:paraId="19520A14"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7B595ABB" w14:textId="77777777" w:rsidR="000307F5" w:rsidRPr="00525577" w:rsidRDefault="000307F5" w:rsidP="000307F5">
            <w:pPr>
              <w:rPr>
                <w:rFonts w:cstheme="minorHAnsi"/>
                <w:sz w:val="24"/>
                <w:szCs w:val="24"/>
              </w:rPr>
            </w:pPr>
          </w:p>
        </w:tc>
        <w:tc>
          <w:tcPr>
            <w:tcW w:w="1772" w:type="dxa"/>
            <w:shd w:val="clear" w:color="auto" w:fill="FFFFFF" w:themeFill="background1"/>
          </w:tcPr>
          <w:p w14:paraId="2DFAC45A" w14:textId="77777777" w:rsidR="000307F5" w:rsidRPr="00525577" w:rsidRDefault="000307F5" w:rsidP="000307F5">
            <w:pPr>
              <w:rPr>
                <w:rFonts w:cstheme="minorHAnsi"/>
                <w:sz w:val="24"/>
                <w:szCs w:val="24"/>
              </w:rPr>
            </w:pPr>
          </w:p>
        </w:tc>
        <w:tc>
          <w:tcPr>
            <w:tcW w:w="3557" w:type="dxa"/>
            <w:shd w:val="clear" w:color="auto" w:fill="FFFFFF" w:themeFill="background1"/>
          </w:tcPr>
          <w:p w14:paraId="084B7376" w14:textId="7653962A" w:rsidR="000307F5" w:rsidRPr="00525577" w:rsidRDefault="000307F5" w:rsidP="000307F5">
            <w:pPr>
              <w:jc w:val="center"/>
              <w:rPr>
                <w:rFonts w:cstheme="minorHAnsi"/>
                <w:b/>
                <w:bCs/>
                <w:color w:val="FF0000"/>
                <w:sz w:val="24"/>
                <w:szCs w:val="24"/>
              </w:rPr>
            </w:pPr>
          </w:p>
        </w:tc>
      </w:tr>
      <w:tr w:rsidR="000307F5" w:rsidRPr="00525577" w14:paraId="35581D3A" w14:textId="77777777" w:rsidTr="00B72B6A">
        <w:tc>
          <w:tcPr>
            <w:tcW w:w="926" w:type="dxa"/>
            <w:shd w:val="clear" w:color="auto" w:fill="FFFFFF" w:themeFill="background1"/>
          </w:tcPr>
          <w:p w14:paraId="534D02DA" w14:textId="4FFF7808" w:rsidR="000307F5" w:rsidRPr="00525577" w:rsidRDefault="000307F5" w:rsidP="000307F5">
            <w:pPr>
              <w:rPr>
                <w:sz w:val="24"/>
                <w:szCs w:val="24"/>
              </w:rPr>
            </w:pPr>
            <w:r w:rsidRPr="00525577">
              <w:rPr>
                <w:sz w:val="24"/>
                <w:szCs w:val="24"/>
              </w:rPr>
              <w:lastRenderedPageBreak/>
              <w:t>12.5</w:t>
            </w:r>
            <w:r w:rsidR="00247268" w:rsidRPr="00525577">
              <w:rPr>
                <w:sz w:val="24"/>
                <w:szCs w:val="24"/>
              </w:rPr>
              <w:t>4</w:t>
            </w:r>
          </w:p>
        </w:tc>
        <w:tc>
          <w:tcPr>
            <w:tcW w:w="3547" w:type="dxa"/>
            <w:shd w:val="clear" w:color="auto" w:fill="FFFFFF" w:themeFill="background1"/>
          </w:tcPr>
          <w:p w14:paraId="4C734F25" w14:textId="408982DC" w:rsidR="000307F5" w:rsidRPr="00525577" w:rsidRDefault="000307F5" w:rsidP="000307F5">
            <w:pPr>
              <w:rPr>
                <w:rFonts w:cstheme="minorHAnsi"/>
                <w:color w:val="000000"/>
                <w:sz w:val="24"/>
                <w:szCs w:val="24"/>
              </w:rPr>
            </w:pPr>
            <w:r w:rsidRPr="00525577">
              <w:rPr>
                <w:rFonts w:cstheme="minorHAnsi"/>
                <w:color w:val="000000"/>
                <w:sz w:val="24"/>
                <w:szCs w:val="24"/>
              </w:rPr>
              <w:t>Policies and procedures are in place for IT resource acquisition including new hardware and licensing.</w:t>
            </w:r>
          </w:p>
        </w:tc>
        <w:tc>
          <w:tcPr>
            <w:tcW w:w="2615" w:type="dxa"/>
            <w:vMerge/>
            <w:shd w:val="clear" w:color="auto" w:fill="FFFFFF" w:themeFill="background1"/>
          </w:tcPr>
          <w:p w14:paraId="7EB01222"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43B49E6F" w14:textId="77777777" w:rsidR="000307F5" w:rsidRPr="00525577" w:rsidRDefault="000307F5" w:rsidP="000307F5">
            <w:pPr>
              <w:rPr>
                <w:rFonts w:cstheme="minorHAnsi"/>
                <w:sz w:val="24"/>
                <w:szCs w:val="24"/>
              </w:rPr>
            </w:pPr>
          </w:p>
        </w:tc>
        <w:tc>
          <w:tcPr>
            <w:tcW w:w="1772" w:type="dxa"/>
            <w:shd w:val="clear" w:color="auto" w:fill="FFFFFF" w:themeFill="background1"/>
          </w:tcPr>
          <w:p w14:paraId="032EDA60" w14:textId="77777777" w:rsidR="000307F5" w:rsidRPr="00525577" w:rsidRDefault="000307F5" w:rsidP="000307F5">
            <w:pPr>
              <w:rPr>
                <w:rFonts w:cstheme="minorHAnsi"/>
                <w:sz w:val="24"/>
                <w:szCs w:val="24"/>
              </w:rPr>
            </w:pPr>
          </w:p>
        </w:tc>
        <w:tc>
          <w:tcPr>
            <w:tcW w:w="3557" w:type="dxa"/>
            <w:shd w:val="clear" w:color="auto" w:fill="FFFFFF" w:themeFill="background1"/>
          </w:tcPr>
          <w:p w14:paraId="377C4461" w14:textId="480B589F" w:rsidR="000307F5" w:rsidRPr="00525577" w:rsidRDefault="000307F5" w:rsidP="000307F5">
            <w:pPr>
              <w:jc w:val="center"/>
              <w:rPr>
                <w:rFonts w:cstheme="minorHAnsi"/>
                <w:b/>
                <w:bCs/>
                <w:color w:val="FF0000"/>
                <w:sz w:val="24"/>
                <w:szCs w:val="24"/>
              </w:rPr>
            </w:pPr>
          </w:p>
        </w:tc>
      </w:tr>
      <w:tr w:rsidR="000307F5" w:rsidRPr="00525577" w14:paraId="76365EDE" w14:textId="77777777" w:rsidTr="00B72B6A">
        <w:tc>
          <w:tcPr>
            <w:tcW w:w="926" w:type="dxa"/>
            <w:shd w:val="clear" w:color="auto" w:fill="FFFFFF" w:themeFill="background1"/>
          </w:tcPr>
          <w:p w14:paraId="4C33F108" w14:textId="2BDD017F" w:rsidR="000307F5" w:rsidRPr="00525577" w:rsidRDefault="000307F5" w:rsidP="000307F5">
            <w:pPr>
              <w:rPr>
                <w:sz w:val="24"/>
                <w:szCs w:val="24"/>
              </w:rPr>
            </w:pPr>
            <w:r w:rsidRPr="00525577">
              <w:rPr>
                <w:sz w:val="24"/>
                <w:szCs w:val="24"/>
              </w:rPr>
              <w:t>12.5</w:t>
            </w:r>
            <w:r w:rsidR="00247268" w:rsidRPr="00525577">
              <w:rPr>
                <w:sz w:val="24"/>
                <w:szCs w:val="24"/>
              </w:rPr>
              <w:t>5</w:t>
            </w:r>
          </w:p>
        </w:tc>
        <w:tc>
          <w:tcPr>
            <w:tcW w:w="3547" w:type="dxa"/>
            <w:shd w:val="clear" w:color="auto" w:fill="FFFFFF" w:themeFill="background1"/>
          </w:tcPr>
          <w:p w14:paraId="7FB28CB4" w14:textId="26C7075B"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has a refresh cycle in place for replacing obsolete and depreciated IT resources. </w:t>
            </w:r>
          </w:p>
        </w:tc>
        <w:tc>
          <w:tcPr>
            <w:tcW w:w="2615" w:type="dxa"/>
            <w:vMerge/>
            <w:shd w:val="clear" w:color="auto" w:fill="FFFFFF" w:themeFill="background1"/>
          </w:tcPr>
          <w:p w14:paraId="7FCCDC8F"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71364DDC" w14:textId="77777777" w:rsidR="000307F5" w:rsidRPr="00525577" w:rsidRDefault="000307F5" w:rsidP="000307F5">
            <w:pPr>
              <w:rPr>
                <w:rFonts w:cstheme="minorHAnsi"/>
                <w:sz w:val="24"/>
                <w:szCs w:val="24"/>
              </w:rPr>
            </w:pPr>
          </w:p>
        </w:tc>
        <w:tc>
          <w:tcPr>
            <w:tcW w:w="1772" w:type="dxa"/>
            <w:shd w:val="clear" w:color="auto" w:fill="FFFFFF" w:themeFill="background1"/>
          </w:tcPr>
          <w:p w14:paraId="4B55F120" w14:textId="77777777" w:rsidR="000307F5" w:rsidRPr="00525577" w:rsidRDefault="000307F5" w:rsidP="000307F5">
            <w:pPr>
              <w:rPr>
                <w:rFonts w:cstheme="minorHAnsi"/>
                <w:sz w:val="24"/>
                <w:szCs w:val="24"/>
              </w:rPr>
            </w:pPr>
          </w:p>
        </w:tc>
        <w:tc>
          <w:tcPr>
            <w:tcW w:w="3557" w:type="dxa"/>
            <w:shd w:val="clear" w:color="auto" w:fill="FFFFFF" w:themeFill="background1"/>
          </w:tcPr>
          <w:p w14:paraId="3B102A5F" w14:textId="35E5B2DB" w:rsidR="000307F5" w:rsidRPr="00525577" w:rsidRDefault="000307F5" w:rsidP="000307F5">
            <w:pPr>
              <w:jc w:val="center"/>
              <w:rPr>
                <w:rFonts w:cstheme="minorHAnsi"/>
                <w:b/>
                <w:bCs/>
                <w:color w:val="FF0000"/>
                <w:sz w:val="24"/>
                <w:szCs w:val="24"/>
              </w:rPr>
            </w:pPr>
          </w:p>
        </w:tc>
      </w:tr>
      <w:tr w:rsidR="000307F5" w:rsidRPr="00525577" w14:paraId="76810231" w14:textId="77777777" w:rsidTr="00B72B6A">
        <w:tc>
          <w:tcPr>
            <w:tcW w:w="926" w:type="dxa"/>
            <w:shd w:val="clear" w:color="auto" w:fill="FFFFFF" w:themeFill="background1"/>
          </w:tcPr>
          <w:p w14:paraId="33633A02" w14:textId="07F48B14" w:rsidR="000307F5" w:rsidRPr="00525577" w:rsidRDefault="000307F5" w:rsidP="000307F5">
            <w:pPr>
              <w:rPr>
                <w:sz w:val="24"/>
                <w:szCs w:val="24"/>
              </w:rPr>
            </w:pPr>
            <w:r w:rsidRPr="00525577">
              <w:rPr>
                <w:sz w:val="24"/>
                <w:szCs w:val="24"/>
              </w:rPr>
              <w:t>12.5</w:t>
            </w:r>
            <w:r w:rsidR="00247268" w:rsidRPr="00525577">
              <w:rPr>
                <w:sz w:val="24"/>
                <w:szCs w:val="24"/>
              </w:rPr>
              <w:t>6</w:t>
            </w:r>
          </w:p>
        </w:tc>
        <w:tc>
          <w:tcPr>
            <w:tcW w:w="3547" w:type="dxa"/>
            <w:shd w:val="clear" w:color="auto" w:fill="FFFFFF" w:themeFill="background1"/>
          </w:tcPr>
          <w:p w14:paraId="00B51D98" w14:textId="55C6153C" w:rsidR="000307F5" w:rsidRPr="00525577" w:rsidRDefault="000307F5" w:rsidP="000307F5">
            <w:pPr>
              <w:rPr>
                <w:rFonts w:cstheme="minorHAnsi"/>
                <w:color w:val="000000"/>
                <w:sz w:val="24"/>
                <w:szCs w:val="24"/>
              </w:rPr>
            </w:pPr>
            <w:r w:rsidRPr="00525577">
              <w:rPr>
                <w:rFonts w:cstheme="minorHAnsi"/>
                <w:color w:val="000000"/>
                <w:sz w:val="24"/>
                <w:szCs w:val="24"/>
              </w:rPr>
              <w:t>The CMHSP has a policy or procedure in place for disposing of electronic devices and media that contain PHI. (PCs, laptops, disks, memory cards, flash drives, etc.)</w:t>
            </w:r>
          </w:p>
        </w:tc>
        <w:tc>
          <w:tcPr>
            <w:tcW w:w="2615" w:type="dxa"/>
            <w:vMerge/>
            <w:shd w:val="clear" w:color="auto" w:fill="FFFFFF" w:themeFill="background1"/>
          </w:tcPr>
          <w:p w14:paraId="3F3D12E8"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250B1B16" w14:textId="77777777" w:rsidR="000307F5" w:rsidRPr="00525577" w:rsidRDefault="000307F5" w:rsidP="000307F5">
            <w:pPr>
              <w:rPr>
                <w:rFonts w:cstheme="minorHAnsi"/>
                <w:sz w:val="24"/>
                <w:szCs w:val="24"/>
              </w:rPr>
            </w:pPr>
          </w:p>
        </w:tc>
        <w:tc>
          <w:tcPr>
            <w:tcW w:w="1772" w:type="dxa"/>
            <w:shd w:val="clear" w:color="auto" w:fill="FFFFFF" w:themeFill="background1"/>
          </w:tcPr>
          <w:p w14:paraId="361AE0E7" w14:textId="77777777" w:rsidR="000307F5" w:rsidRPr="00525577" w:rsidRDefault="000307F5" w:rsidP="000307F5">
            <w:pPr>
              <w:rPr>
                <w:rFonts w:cstheme="minorHAnsi"/>
                <w:sz w:val="24"/>
                <w:szCs w:val="24"/>
              </w:rPr>
            </w:pPr>
          </w:p>
        </w:tc>
        <w:tc>
          <w:tcPr>
            <w:tcW w:w="3557" w:type="dxa"/>
            <w:shd w:val="clear" w:color="auto" w:fill="FFFFFF" w:themeFill="background1"/>
          </w:tcPr>
          <w:p w14:paraId="4032C374" w14:textId="4E4B32B9" w:rsidR="000307F5" w:rsidRPr="00525577" w:rsidRDefault="000307F5" w:rsidP="000307F5">
            <w:pPr>
              <w:jc w:val="center"/>
              <w:rPr>
                <w:rFonts w:cstheme="minorHAnsi"/>
                <w:b/>
                <w:bCs/>
                <w:color w:val="FF0000"/>
                <w:sz w:val="24"/>
                <w:szCs w:val="24"/>
              </w:rPr>
            </w:pPr>
          </w:p>
        </w:tc>
      </w:tr>
      <w:tr w:rsidR="000307F5" w:rsidRPr="00525577" w14:paraId="6E4B23D2" w14:textId="77777777" w:rsidTr="000D7138">
        <w:tc>
          <w:tcPr>
            <w:tcW w:w="14263" w:type="dxa"/>
            <w:gridSpan w:val="6"/>
          </w:tcPr>
          <w:p w14:paraId="475A4D0F" w14:textId="0C9BC116" w:rsidR="000307F5" w:rsidRPr="00525577" w:rsidRDefault="000307F5" w:rsidP="000307F5">
            <w:pPr>
              <w:rPr>
                <w:b/>
                <w:sz w:val="24"/>
                <w:szCs w:val="24"/>
              </w:rPr>
            </w:pPr>
            <w:r w:rsidRPr="00525577">
              <w:rPr>
                <w:b/>
                <w:sz w:val="24"/>
                <w:szCs w:val="24"/>
              </w:rPr>
              <w:t>Contractual Obligations</w:t>
            </w:r>
            <w:r w:rsidR="007877AE" w:rsidRPr="00525577">
              <w:rPr>
                <w:b/>
                <w:sz w:val="24"/>
                <w:szCs w:val="24"/>
              </w:rPr>
              <w:t>:</w:t>
            </w:r>
            <w:r w:rsidR="00D60439" w:rsidRPr="00525577">
              <w:rPr>
                <w:b/>
                <w:sz w:val="24"/>
                <w:szCs w:val="24"/>
              </w:rPr>
              <w:t xml:space="preserve"> </w:t>
            </w:r>
          </w:p>
        </w:tc>
      </w:tr>
      <w:tr w:rsidR="000307F5" w:rsidRPr="00525577" w14:paraId="3BDDADB8" w14:textId="77777777" w:rsidTr="00B72B6A">
        <w:tc>
          <w:tcPr>
            <w:tcW w:w="926" w:type="dxa"/>
            <w:shd w:val="clear" w:color="auto" w:fill="FFFFFF" w:themeFill="background1"/>
          </w:tcPr>
          <w:p w14:paraId="622A89A1" w14:textId="07089C41" w:rsidR="000307F5" w:rsidRPr="00525577" w:rsidRDefault="000307F5" w:rsidP="000307F5">
            <w:pPr>
              <w:rPr>
                <w:sz w:val="24"/>
                <w:szCs w:val="24"/>
              </w:rPr>
            </w:pPr>
            <w:r w:rsidRPr="00525577">
              <w:rPr>
                <w:sz w:val="24"/>
                <w:szCs w:val="24"/>
              </w:rPr>
              <w:t>12.5</w:t>
            </w:r>
            <w:r w:rsidR="00247268" w:rsidRPr="00525577">
              <w:rPr>
                <w:sz w:val="24"/>
                <w:szCs w:val="24"/>
              </w:rPr>
              <w:t>7</w:t>
            </w:r>
          </w:p>
        </w:tc>
        <w:tc>
          <w:tcPr>
            <w:tcW w:w="3547" w:type="dxa"/>
            <w:shd w:val="clear" w:color="auto" w:fill="FFFFFF" w:themeFill="background1"/>
          </w:tcPr>
          <w:p w14:paraId="63BBD787" w14:textId="77777777"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combines different types of information to provide complex required data feeds to the PIHP including BH-TEDS, QI, claims/encounters, critical </w:t>
            </w:r>
            <w:r w:rsidRPr="00525577">
              <w:rPr>
                <w:rFonts w:cstheme="minorHAnsi"/>
                <w:color w:val="000000"/>
                <w:sz w:val="24"/>
                <w:szCs w:val="24"/>
              </w:rPr>
              <w:lastRenderedPageBreak/>
              <w:t>incidents, and performance indicator data.</w:t>
            </w:r>
          </w:p>
          <w:p w14:paraId="14EED1B0" w14:textId="77777777" w:rsidR="000307F5" w:rsidRPr="00525577" w:rsidRDefault="000307F5" w:rsidP="000307F5">
            <w:pPr>
              <w:rPr>
                <w:rFonts w:cstheme="minorHAnsi"/>
                <w:color w:val="000000"/>
                <w:sz w:val="24"/>
                <w:szCs w:val="24"/>
              </w:rPr>
            </w:pPr>
          </w:p>
        </w:tc>
        <w:tc>
          <w:tcPr>
            <w:tcW w:w="2615" w:type="dxa"/>
            <w:shd w:val="clear" w:color="auto" w:fill="FFFFFF" w:themeFill="background1"/>
          </w:tcPr>
          <w:p w14:paraId="15FB0405" w14:textId="5A6030CE" w:rsidR="000307F5" w:rsidRPr="00525577" w:rsidRDefault="000307F5" w:rsidP="000307F5">
            <w:pPr>
              <w:rPr>
                <w:rFonts w:cstheme="minorHAnsi"/>
                <w:color w:val="000000"/>
                <w:sz w:val="24"/>
                <w:szCs w:val="24"/>
              </w:rPr>
            </w:pPr>
            <w:r w:rsidRPr="00525577">
              <w:rPr>
                <w:rFonts w:cstheme="minorHAnsi"/>
                <w:color w:val="000000"/>
                <w:sz w:val="24"/>
                <w:szCs w:val="24"/>
              </w:rPr>
              <w:lastRenderedPageBreak/>
              <w:t xml:space="preserve">HIPAA Security and Privacy, 45 CFR Parts 160 &amp; 164 Subparts A, B, C, D, </w:t>
            </w:r>
            <w:proofErr w:type="gramStart"/>
            <w:r w:rsidRPr="00525577">
              <w:rPr>
                <w:rFonts w:cstheme="minorHAnsi"/>
                <w:color w:val="000000"/>
                <w:sz w:val="24"/>
                <w:szCs w:val="24"/>
              </w:rPr>
              <w:t>E;</w:t>
            </w:r>
            <w:proofErr w:type="gramEnd"/>
            <w:r w:rsidRPr="00525577">
              <w:rPr>
                <w:rFonts w:cstheme="minorHAnsi"/>
                <w:color w:val="000000"/>
                <w:sz w:val="24"/>
                <w:szCs w:val="24"/>
              </w:rPr>
              <w:t xml:space="preserve"> </w:t>
            </w:r>
          </w:p>
          <w:p w14:paraId="02136C03" w14:textId="77777777" w:rsidR="000307F5" w:rsidRPr="00525577" w:rsidRDefault="000307F5" w:rsidP="000307F5">
            <w:pPr>
              <w:rPr>
                <w:rFonts w:cstheme="minorHAnsi"/>
                <w:color w:val="000000"/>
                <w:sz w:val="24"/>
                <w:szCs w:val="24"/>
              </w:rPr>
            </w:pPr>
          </w:p>
          <w:p w14:paraId="28EF0B81" w14:textId="1F01C2EC" w:rsidR="000307F5" w:rsidRPr="00525577" w:rsidRDefault="000307F5" w:rsidP="007877AE">
            <w:pPr>
              <w:rPr>
                <w:rFonts w:cstheme="minorHAnsi"/>
                <w:color w:val="000000"/>
                <w:sz w:val="24"/>
                <w:szCs w:val="24"/>
              </w:rPr>
            </w:pPr>
            <w:r w:rsidRPr="00525577">
              <w:rPr>
                <w:rFonts w:cstheme="minorHAnsi"/>
                <w:color w:val="000000"/>
                <w:sz w:val="24"/>
                <w:szCs w:val="24"/>
              </w:rPr>
              <w:lastRenderedPageBreak/>
              <w:t xml:space="preserve">LRE/CMHSP Participant contract delegation grid; Commonly accepted IT practices </w:t>
            </w:r>
          </w:p>
        </w:tc>
        <w:tc>
          <w:tcPr>
            <w:tcW w:w="1846" w:type="dxa"/>
            <w:shd w:val="clear" w:color="auto" w:fill="FFFFFF" w:themeFill="background1"/>
          </w:tcPr>
          <w:p w14:paraId="75992109" w14:textId="77777777" w:rsidR="000307F5" w:rsidRPr="00525577" w:rsidRDefault="000307F5" w:rsidP="000307F5">
            <w:pPr>
              <w:rPr>
                <w:rFonts w:cstheme="minorHAnsi"/>
                <w:sz w:val="24"/>
                <w:szCs w:val="24"/>
              </w:rPr>
            </w:pPr>
          </w:p>
        </w:tc>
        <w:tc>
          <w:tcPr>
            <w:tcW w:w="1772" w:type="dxa"/>
            <w:shd w:val="clear" w:color="auto" w:fill="FFFFFF" w:themeFill="background1"/>
          </w:tcPr>
          <w:p w14:paraId="0E9559EC" w14:textId="77777777" w:rsidR="000307F5" w:rsidRPr="00525577" w:rsidRDefault="000307F5" w:rsidP="000307F5">
            <w:pPr>
              <w:rPr>
                <w:rFonts w:cstheme="minorHAnsi"/>
                <w:sz w:val="24"/>
                <w:szCs w:val="24"/>
              </w:rPr>
            </w:pPr>
          </w:p>
        </w:tc>
        <w:tc>
          <w:tcPr>
            <w:tcW w:w="3557" w:type="dxa"/>
            <w:shd w:val="clear" w:color="auto" w:fill="FFFFFF" w:themeFill="background1"/>
          </w:tcPr>
          <w:p w14:paraId="12A76BC2" w14:textId="5A09E54E" w:rsidR="000307F5" w:rsidRPr="00525577" w:rsidRDefault="000307F5" w:rsidP="000307F5">
            <w:pPr>
              <w:jc w:val="center"/>
              <w:rPr>
                <w:rFonts w:cstheme="minorHAnsi"/>
                <w:b/>
                <w:bCs/>
                <w:color w:val="FF0000"/>
                <w:sz w:val="24"/>
                <w:szCs w:val="24"/>
              </w:rPr>
            </w:pPr>
          </w:p>
        </w:tc>
      </w:tr>
      <w:tr w:rsidR="000307F5" w:rsidRPr="00525577" w14:paraId="79A1A9D8" w14:textId="77777777" w:rsidTr="00B72B6A">
        <w:tc>
          <w:tcPr>
            <w:tcW w:w="926" w:type="dxa"/>
            <w:shd w:val="clear" w:color="auto" w:fill="FFFFFF" w:themeFill="background1"/>
          </w:tcPr>
          <w:p w14:paraId="0530096E" w14:textId="0B2575F4" w:rsidR="000307F5" w:rsidRPr="00525577" w:rsidRDefault="000307F5" w:rsidP="000307F5">
            <w:pPr>
              <w:rPr>
                <w:sz w:val="24"/>
                <w:szCs w:val="24"/>
              </w:rPr>
            </w:pPr>
            <w:r w:rsidRPr="00525577">
              <w:rPr>
                <w:sz w:val="24"/>
                <w:szCs w:val="24"/>
              </w:rPr>
              <w:t>12.5</w:t>
            </w:r>
            <w:r w:rsidR="00247268" w:rsidRPr="00525577">
              <w:rPr>
                <w:sz w:val="24"/>
                <w:szCs w:val="24"/>
              </w:rPr>
              <w:t>8</w:t>
            </w:r>
          </w:p>
        </w:tc>
        <w:tc>
          <w:tcPr>
            <w:tcW w:w="3547" w:type="dxa"/>
            <w:shd w:val="clear" w:color="auto" w:fill="FFFFFF" w:themeFill="background1"/>
          </w:tcPr>
          <w:p w14:paraId="1EE6684D" w14:textId="1BDB1D6E"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submits encounters to LRE monthly in accordance with the CMHSP's responsibilities outlined in the LRE/CMHSP delegation grid. </w:t>
            </w:r>
          </w:p>
        </w:tc>
        <w:tc>
          <w:tcPr>
            <w:tcW w:w="2615" w:type="dxa"/>
            <w:vMerge w:val="restart"/>
            <w:shd w:val="clear" w:color="auto" w:fill="FFFFFF" w:themeFill="background1"/>
          </w:tcPr>
          <w:p w14:paraId="1EAE3C54" w14:textId="4554D51E" w:rsidR="000307F5" w:rsidRPr="00525577" w:rsidRDefault="000307F5" w:rsidP="000307F5">
            <w:pPr>
              <w:rPr>
                <w:rFonts w:cstheme="minorHAnsi"/>
                <w:color w:val="000000"/>
                <w:sz w:val="24"/>
                <w:szCs w:val="24"/>
              </w:rPr>
            </w:pPr>
            <w:r w:rsidRPr="00525577">
              <w:rPr>
                <w:rFonts w:cstheme="minorHAnsi"/>
                <w:color w:val="000000"/>
                <w:sz w:val="24"/>
                <w:szCs w:val="24"/>
              </w:rPr>
              <w:t xml:space="preserve">HIPAA Security and Privacy, 45 CFR Parts 160 &amp; 164 Subparts A, B, C, D, </w:t>
            </w:r>
            <w:proofErr w:type="gramStart"/>
            <w:r w:rsidRPr="00525577">
              <w:rPr>
                <w:rFonts w:cstheme="minorHAnsi"/>
                <w:color w:val="000000"/>
                <w:sz w:val="24"/>
                <w:szCs w:val="24"/>
              </w:rPr>
              <w:t>E;</w:t>
            </w:r>
            <w:proofErr w:type="gramEnd"/>
            <w:r w:rsidRPr="00525577">
              <w:rPr>
                <w:rFonts w:cstheme="minorHAnsi"/>
                <w:color w:val="000000"/>
                <w:sz w:val="24"/>
                <w:szCs w:val="24"/>
              </w:rPr>
              <w:t xml:space="preserve"> </w:t>
            </w:r>
          </w:p>
          <w:p w14:paraId="3356EBAB" w14:textId="77777777" w:rsidR="000307F5" w:rsidRPr="00525577" w:rsidRDefault="000307F5" w:rsidP="000307F5">
            <w:pPr>
              <w:rPr>
                <w:rFonts w:cstheme="minorHAnsi"/>
                <w:color w:val="000000"/>
                <w:sz w:val="24"/>
                <w:szCs w:val="24"/>
              </w:rPr>
            </w:pPr>
          </w:p>
          <w:p w14:paraId="768717A2" w14:textId="00177130" w:rsidR="000307F5" w:rsidRPr="00525577" w:rsidRDefault="000307F5" w:rsidP="000307F5">
            <w:pPr>
              <w:rPr>
                <w:rFonts w:cstheme="minorHAnsi"/>
                <w:color w:val="000000"/>
                <w:sz w:val="24"/>
                <w:szCs w:val="24"/>
              </w:rPr>
            </w:pPr>
            <w:r w:rsidRPr="00525577">
              <w:rPr>
                <w:rFonts w:cstheme="minorHAnsi"/>
                <w:color w:val="000000"/>
                <w:sz w:val="24"/>
                <w:szCs w:val="24"/>
              </w:rPr>
              <w:t xml:space="preserve">LRE/CMHSP Participant contract delegation grid; Commonly accepted IT practices </w:t>
            </w:r>
          </w:p>
          <w:p w14:paraId="083C1350"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03BDA687" w14:textId="77777777" w:rsidR="000307F5" w:rsidRPr="00525577" w:rsidRDefault="000307F5" w:rsidP="000307F5">
            <w:pPr>
              <w:rPr>
                <w:rFonts w:cstheme="minorHAnsi"/>
                <w:sz w:val="24"/>
                <w:szCs w:val="24"/>
              </w:rPr>
            </w:pPr>
          </w:p>
        </w:tc>
        <w:tc>
          <w:tcPr>
            <w:tcW w:w="1772" w:type="dxa"/>
            <w:shd w:val="clear" w:color="auto" w:fill="FFFFFF" w:themeFill="background1"/>
          </w:tcPr>
          <w:p w14:paraId="1DAA40F1" w14:textId="77777777" w:rsidR="000307F5" w:rsidRPr="00525577" w:rsidRDefault="000307F5" w:rsidP="000307F5">
            <w:pPr>
              <w:rPr>
                <w:rFonts w:cstheme="minorHAnsi"/>
                <w:sz w:val="24"/>
                <w:szCs w:val="24"/>
              </w:rPr>
            </w:pPr>
          </w:p>
        </w:tc>
        <w:tc>
          <w:tcPr>
            <w:tcW w:w="3557" w:type="dxa"/>
            <w:shd w:val="clear" w:color="auto" w:fill="FFFFFF" w:themeFill="background1"/>
          </w:tcPr>
          <w:p w14:paraId="278A245C" w14:textId="7C9ACF26" w:rsidR="000307F5" w:rsidRPr="00525577" w:rsidRDefault="000307F5" w:rsidP="000307F5">
            <w:pPr>
              <w:jc w:val="center"/>
              <w:rPr>
                <w:rFonts w:cstheme="minorHAnsi"/>
                <w:b/>
                <w:bCs/>
                <w:color w:val="FF0000"/>
                <w:sz w:val="24"/>
                <w:szCs w:val="24"/>
              </w:rPr>
            </w:pPr>
          </w:p>
        </w:tc>
      </w:tr>
      <w:tr w:rsidR="000307F5" w:rsidRPr="00525577" w14:paraId="768645E0" w14:textId="77777777" w:rsidTr="00B72B6A">
        <w:tc>
          <w:tcPr>
            <w:tcW w:w="926" w:type="dxa"/>
            <w:shd w:val="clear" w:color="auto" w:fill="FFFFFF" w:themeFill="background1"/>
          </w:tcPr>
          <w:p w14:paraId="52F8A676" w14:textId="0978D54E" w:rsidR="000307F5" w:rsidRPr="00525577" w:rsidRDefault="000307F5" w:rsidP="000307F5">
            <w:pPr>
              <w:rPr>
                <w:sz w:val="24"/>
                <w:szCs w:val="24"/>
              </w:rPr>
            </w:pPr>
            <w:r w:rsidRPr="00525577">
              <w:rPr>
                <w:sz w:val="24"/>
                <w:szCs w:val="24"/>
              </w:rPr>
              <w:t>12.5</w:t>
            </w:r>
            <w:r w:rsidR="00247268" w:rsidRPr="00525577">
              <w:rPr>
                <w:sz w:val="24"/>
                <w:szCs w:val="24"/>
              </w:rPr>
              <w:t>9</w:t>
            </w:r>
          </w:p>
        </w:tc>
        <w:tc>
          <w:tcPr>
            <w:tcW w:w="3547" w:type="dxa"/>
            <w:shd w:val="clear" w:color="auto" w:fill="FFFFFF" w:themeFill="background1"/>
          </w:tcPr>
          <w:p w14:paraId="2816F01C" w14:textId="4B9D9178" w:rsidR="000307F5" w:rsidRPr="00525577" w:rsidRDefault="000307F5" w:rsidP="000307F5">
            <w:pPr>
              <w:rPr>
                <w:rFonts w:cstheme="minorHAnsi"/>
                <w:color w:val="000000"/>
                <w:sz w:val="24"/>
                <w:szCs w:val="24"/>
              </w:rPr>
            </w:pPr>
            <w:r w:rsidRPr="00525577">
              <w:rPr>
                <w:rFonts w:cstheme="minorHAnsi"/>
                <w:color w:val="000000"/>
                <w:sz w:val="24"/>
                <w:szCs w:val="24"/>
              </w:rPr>
              <w:t>The CMHSP submits refreshed Consumer List data to LRE on a regular basis, weekly at minimum.</w:t>
            </w:r>
          </w:p>
        </w:tc>
        <w:tc>
          <w:tcPr>
            <w:tcW w:w="2615" w:type="dxa"/>
            <w:vMerge/>
            <w:shd w:val="clear" w:color="auto" w:fill="FFFFFF" w:themeFill="background1"/>
          </w:tcPr>
          <w:p w14:paraId="13063A97"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71027337" w14:textId="77777777" w:rsidR="000307F5" w:rsidRPr="00525577" w:rsidRDefault="000307F5" w:rsidP="000307F5">
            <w:pPr>
              <w:rPr>
                <w:rFonts w:cstheme="minorHAnsi"/>
                <w:sz w:val="24"/>
                <w:szCs w:val="24"/>
              </w:rPr>
            </w:pPr>
          </w:p>
        </w:tc>
        <w:tc>
          <w:tcPr>
            <w:tcW w:w="1772" w:type="dxa"/>
            <w:shd w:val="clear" w:color="auto" w:fill="FFFFFF" w:themeFill="background1"/>
          </w:tcPr>
          <w:p w14:paraId="060B0650" w14:textId="77777777" w:rsidR="000307F5" w:rsidRPr="00525577" w:rsidRDefault="000307F5" w:rsidP="000307F5">
            <w:pPr>
              <w:rPr>
                <w:rFonts w:cstheme="minorHAnsi"/>
                <w:sz w:val="24"/>
                <w:szCs w:val="24"/>
              </w:rPr>
            </w:pPr>
          </w:p>
        </w:tc>
        <w:tc>
          <w:tcPr>
            <w:tcW w:w="3557" w:type="dxa"/>
            <w:shd w:val="clear" w:color="auto" w:fill="FFFFFF" w:themeFill="background1"/>
          </w:tcPr>
          <w:p w14:paraId="6FFDCBF4" w14:textId="7A752F0C" w:rsidR="000307F5" w:rsidRPr="00525577" w:rsidRDefault="000307F5" w:rsidP="000307F5">
            <w:pPr>
              <w:jc w:val="center"/>
              <w:rPr>
                <w:rFonts w:cstheme="minorHAnsi"/>
                <w:b/>
                <w:bCs/>
                <w:color w:val="FF0000"/>
                <w:sz w:val="24"/>
                <w:szCs w:val="24"/>
              </w:rPr>
            </w:pPr>
          </w:p>
        </w:tc>
      </w:tr>
      <w:tr w:rsidR="000307F5" w:rsidRPr="00525577" w14:paraId="0699A9BE" w14:textId="77777777" w:rsidTr="00B72B6A">
        <w:tc>
          <w:tcPr>
            <w:tcW w:w="926" w:type="dxa"/>
            <w:shd w:val="clear" w:color="auto" w:fill="FFFFFF" w:themeFill="background1"/>
          </w:tcPr>
          <w:p w14:paraId="49034E91" w14:textId="15783479" w:rsidR="000307F5" w:rsidRPr="00525577" w:rsidRDefault="000307F5" w:rsidP="000307F5">
            <w:pPr>
              <w:rPr>
                <w:sz w:val="24"/>
                <w:szCs w:val="24"/>
              </w:rPr>
            </w:pPr>
            <w:r w:rsidRPr="00525577">
              <w:rPr>
                <w:sz w:val="24"/>
                <w:szCs w:val="24"/>
              </w:rPr>
              <w:t>12.</w:t>
            </w:r>
            <w:r w:rsidR="00247268" w:rsidRPr="00525577">
              <w:rPr>
                <w:sz w:val="24"/>
                <w:szCs w:val="24"/>
              </w:rPr>
              <w:t>60</w:t>
            </w:r>
          </w:p>
        </w:tc>
        <w:tc>
          <w:tcPr>
            <w:tcW w:w="3547" w:type="dxa"/>
            <w:shd w:val="clear" w:color="auto" w:fill="FFFFFF" w:themeFill="background1"/>
          </w:tcPr>
          <w:p w14:paraId="1EE9F229" w14:textId="32E76354" w:rsidR="000307F5" w:rsidRPr="00525577" w:rsidRDefault="000307F5" w:rsidP="000307F5">
            <w:pPr>
              <w:rPr>
                <w:rFonts w:cstheme="minorHAnsi"/>
                <w:color w:val="000000"/>
                <w:sz w:val="24"/>
                <w:szCs w:val="24"/>
              </w:rPr>
            </w:pPr>
            <w:proofErr w:type="gramStart"/>
            <w:r w:rsidRPr="00525577">
              <w:rPr>
                <w:rFonts w:cstheme="minorHAnsi"/>
                <w:color w:val="000000"/>
                <w:sz w:val="24"/>
                <w:szCs w:val="24"/>
              </w:rPr>
              <w:t>The CMHSP</w:t>
            </w:r>
            <w:proofErr w:type="gramEnd"/>
            <w:r w:rsidRPr="00525577">
              <w:rPr>
                <w:rFonts w:cstheme="minorHAnsi"/>
                <w:color w:val="000000"/>
                <w:sz w:val="24"/>
                <w:szCs w:val="24"/>
              </w:rPr>
              <w:t xml:space="preserve"> submits BH-TEDS files and QI files to LRE monthly in accordance with the CMHSP's responsibilities outlined in the LRE/CMHSP delegation grid. </w:t>
            </w:r>
          </w:p>
        </w:tc>
        <w:tc>
          <w:tcPr>
            <w:tcW w:w="2615" w:type="dxa"/>
            <w:vMerge/>
            <w:shd w:val="clear" w:color="auto" w:fill="FFFFFF" w:themeFill="background1"/>
          </w:tcPr>
          <w:p w14:paraId="0FFBCE70"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4A2B535D" w14:textId="77777777" w:rsidR="000307F5" w:rsidRPr="00525577" w:rsidRDefault="000307F5" w:rsidP="000307F5">
            <w:pPr>
              <w:rPr>
                <w:rFonts w:cstheme="minorHAnsi"/>
                <w:sz w:val="24"/>
                <w:szCs w:val="24"/>
              </w:rPr>
            </w:pPr>
          </w:p>
        </w:tc>
        <w:tc>
          <w:tcPr>
            <w:tcW w:w="1772" w:type="dxa"/>
            <w:shd w:val="clear" w:color="auto" w:fill="FFFFFF" w:themeFill="background1"/>
          </w:tcPr>
          <w:p w14:paraId="7B29E4DB" w14:textId="77777777" w:rsidR="000307F5" w:rsidRPr="00525577" w:rsidRDefault="000307F5" w:rsidP="000307F5">
            <w:pPr>
              <w:rPr>
                <w:rFonts w:cstheme="minorHAnsi"/>
                <w:sz w:val="24"/>
                <w:szCs w:val="24"/>
              </w:rPr>
            </w:pPr>
          </w:p>
        </w:tc>
        <w:tc>
          <w:tcPr>
            <w:tcW w:w="3557" w:type="dxa"/>
            <w:shd w:val="clear" w:color="auto" w:fill="FFFFFF" w:themeFill="background1"/>
          </w:tcPr>
          <w:p w14:paraId="113DB01B" w14:textId="2AD9A3FF" w:rsidR="000307F5" w:rsidRPr="00525577" w:rsidRDefault="000307F5" w:rsidP="000307F5">
            <w:pPr>
              <w:jc w:val="center"/>
              <w:rPr>
                <w:rFonts w:cstheme="minorHAnsi"/>
                <w:b/>
                <w:bCs/>
                <w:color w:val="FF0000"/>
                <w:sz w:val="24"/>
                <w:szCs w:val="24"/>
              </w:rPr>
            </w:pPr>
          </w:p>
        </w:tc>
      </w:tr>
      <w:tr w:rsidR="000307F5" w:rsidRPr="00525577" w14:paraId="737F4411" w14:textId="77777777" w:rsidTr="00B72B6A">
        <w:tc>
          <w:tcPr>
            <w:tcW w:w="926" w:type="dxa"/>
            <w:shd w:val="clear" w:color="auto" w:fill="FFFFFF" w:themeFill="background1"/>
          </w:tcPr>
          <w:p w14:paraId="7400A27D" w14:textId="2AE99813" w:rsidR="000307F5" w:rsidRPr="00525577" w:rsidRDefault="000307F5" w:rsidP="000307F5">
            <w:pPr>
              <w:rPr>
                <w:sz w:val="24"/>
                <w:szCs w:val="24"/>
              </w:rPr>
            </w:pPr>
            <w:r w:rsidRPr="00525577">
              <w:rPr>
                <w:sz w:val="24"/>
                <w:szCs w:val="24"/>
              </w:rPr>
              <w:t>12.</w:t>
            </w:r>
            <w:r w:rsidR="00247268" w:rsidRPr="00525577">
              <w:rPr>
                <w:sz w:val="24"/>
                <w:szCs w:val="24"/>
              </w:rPr>
              <w:t>61</w:t>
            </w:r>
          </w:p>
        </w:tc>
        <w:tc>
          <w:tcPr>
            <w:tcW w:w="3547" w:type="dxa"/>
            <w:shd w:val="clear" w:color="auto" w:fill="FFFFFF" w:themeFill="background1"/>
          </w:tcPr>
          <w:p w14:paraId="57667DB6" w14:textId="4CB0305A"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participates in Health Information Exchanges (HIE) </w:t>
            </w:r>
            <w:r w:rsidRPr="00525577">
              <w:rPr>
                <w:rFonts w:cstheme="minorHAnsi"/>
                <w:color w:val="000000"/>
                <w:sz w:val="24"/>
                <w:szCs w:val="24"/>
              </w:rPr>
              <w:lastRenderedPageBreak/>
              <w:t>within the region as allowed by state and federal laws and regulations.</w:t>
            </w:r>
          </w:p>
        </w:tc>
        <w:tc>
          <w:tcPr>
            <w:tcW w:w="2615" w:type="dxa"/>
            <w:vMerge/>
            <w:shd w:val="clear" w:color="auto" w:fill="FFFFFF" w:themeFill="background1"/>
          </w:tcPr>
          <w:p w14:paraId="11F182F7"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7939FB05" w14:textId="77777777" w:rsidR="000307F5" w:rsidRPr="00525577" w:rsidRDefault="000307F5" w:rsidP="000307F5">
            <w:pPr>
              <w:rPr>
                <w:rFonts w:cstheme="minorHAnsi"/>
                <w:sz w:val="24"/>
                <w:szCs w:val="24"/>
              </w:rPr>
            </w:pPr>
          </w:p>
        </w:tc>
        <w:tc>
          <w:tcPr>
            <w:tcW w:w="1772" w:type="dxa"/>
            <w:shd w:val="clear" w:color="auto" w:fill="FFFFFF" w:themeFill="background1"/>
          </w:tcPr>
          <w:p w14:paraId="405FDEFC" w14:textId="77777777" w:rsidR="000307F5" w:rsidRPr="00525577" w:rsidRDefault="000307F5" w:rsidP="000307F5">
            <w:pPr>
              <w:rPr>
                <w:rFonts w:cstheme="minorHAnsi"/>
                <w:sz w:val="24"/>
                <w:szCs w:val="24"/>
              </w:rPr>
            </w:pPr>
          </w:p>
        </w:tc>
        <w:tc>
          <w:tcPr>
            <w:tcW w:w="3557" w:type="dxa"/>
            <w:shd w:val="clear" w:color="auto" w:fill="FFFFFF" w:themeFill="background1"/>
          </w:tcPr>
          <w:p w14:paraId="38FA403D" w14:textId="401CC5B6" w:rsidR="000307F5" w:rsidRPr="00525577" w:rsidRDefault="000307F5" w:rsidP="000307F5">
            <w:pPr>
              <w:jc w:val="center"/>
              <w:rPr>
                <w:rFonts w:cstheme="minorHAnsi"/>
                <w:b/>
                <w:bCs/>
                <w:color w:val="FF0000"/>
                <w:sz w:val="24"/>
                <w:szCs w:val="24"/>
              </w:rPr>
            </w:pPr>
          </w:p>
        </w:tc>
      </w:tr>
      <w:tr w:rsidR="000307F5" w:rsidRPr="00525577" w14:paraId="33FE17A9" w14:textId="77777777" w:rsidTr="00B72B6A">
        <w:tc>
          <w:tcPr>
            <w:tcW w:w="926" w:type="dxa"/>
            <w:shd w:val="clear" w:color="auto" w:fill="FFFFFF" w:themeFill="background1"/>
          </w:tcPr>
          <w:p w14:paraId="267F1474" w14:textId="21C7097C" w:rsidR="000307F5" w:rsidRPr="00525577" w:rsidRDefault="000307F5" w:rsidP="000307F5">
            <w:pPr>
              <w:rPr>
                <w:sz w:val="24"/>
                <w:szCs w:val="24"/>
              </w:rPr>
            </w:pPr>
            <w:r w:rsidRPr="00525577">
              <w:rPr>
                <w:sz w:val="24"/>
                <w:szCs w:val="24"/>
              </w:rPr>
              <w:t>12.6</w:t>
            </w:r>
            <w:r w:rsidR="00247268" w:rsidRPr="00525577">
              <w:rPr>
                <w:sz w:val="24"/>
                <w:szCs w:val="24"/>
              </w:rPr>
              <w:t>2</w:t>
            </w:r>
          </w:p>
        </w:tc>
        <w:tc>
          <w:tcPr>
            <w:tcW w:w="3547" w:type="dxa"/>
            <w:shd w:val="clear" w:color="auto" w:fill="FFFFFF" w:themeFill="background1"/>
          </w:tcPr>
          <w:p w14:paraId="74407B1B" w14:textId="7D6273FD"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uses information at its disposal to ensure adequate and appropriate engagement of delegated functions. </w:t>
            </w:r>
          </w:p>
        </w:tc>
        <w:tc>
          <w:tcPr>
            <w:tcW w:w="2615" w:type="dxa"/>
            <w:vMerge/>
            <w:shd w:val="clear" w:color="auto" w:fill="FFFFFF" w:themeFill="background1"/>
          </w:tcPr>
          <w:p w14:paraId="68BFBA42"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1E597522" w14:textId="77777777" w:rsidR="000307F5" w:rsidRPr="00525577" w:rsidRDefault="000307F5" w:rsidP="000307F5">
            <w:pPr>
              <w:rPr>
                <w:rFonts w:cstheme="minorHAnsi"/>
                <w:sz w:val="24"/>
                <w:szCs w:val="24"/>
              </w:rPr>
            </w:pPr>
          </w:p>
        </w:tc>
        <w:tc>
          <w:tcPr>
            <w:tcW w:w="1772" w:type="dxa"/>
            <w:shd w:val="clear" w:color="auto" w:fill="FFFFFF" w:themeFill="background1"/>
          </w:tcPr>
          <w:p w14:paraId="68EF5631" w14:textId="77777777" w:rsidR="000307F5" w:rsidRPr="00525577" w:rsidRDefault="000307F5" w:rsidP="000307F5">
            <w:pPr>
              <w:rPr>
                <w:rFonts w:cstheme="minorHAnsi"/>
                <w:sz w:val="24"/>
                <w:szCs w:val="24"/>
              </w:rPr>
            </w:pPr>
          </w:p>
        </w:tc>
        <w:tc>
          <w:tcPr>
            <w:tcW w:w="3557" w:type="dxa"/>
            <w:shd w:val="clear" w:color="auto" w:fill="FFFFFF" w:themeFill="background1"/>
          </w:tcPr>
          <w:p w14:paraId="40CA8286" w14:textId="085F03AD" w:rsidR="000307F5" w:rsidRPr="00525577" w:rsidRDefault="000307F5" w:rsidP="000307F5">
            <w:pPr>
              <w:jc w:val="center"/>
              <w:rPr>
                <w:rFonts w:cstheme="minorHAnsi"/>
                <w:b/>
                <w:bCs/>
                <w:color w:val="FF0000"/>
                <w:sz w:val="24"/>
                <w:szCs w:val="24"/>
              </w:rPr>
            </w:pPr>
          </w:p>
        </w:tc>
      </w:tr>
      <w:tr w:rsidR="000307F5" w:rsidRPr="00525577" w14:paraId="68D979D5" w14:textId="77777777" w:rsidTr="00B72B6A">
        <w:tc>
          <w:tcPr>
            <w:tcW w:w="926" w:type="dxa"/>
            <w:shd w:val="clear" w:color="auto" w:fill="FFFFFF" w:themeFill="background1"/>
          </w:tcPr>
          <w:p w14:paraId="23038F9F" w14:textId="4B3DFB24" w:rsidR="000307F5" w:rsidRPr="00525577" w:rsidRDefault="000307F5" w:rsidP="000307F5">
            <w:pPr>
              <w:rPr>
                <w:sz w:val="24"/>
                <w:szCs w:val="24"/>
              </w:rPr>
            </w:pPr>
            <w:r w:rsidRPr="00525577">
              <w:rPr>
                <w:sz w:val="24"/>
                <w:szCs w:val="24"/>
              </w:rPr>
              <w:t>12.6</w:t>
            </w:r>
            <w:r w:rsidR="00247268" w:rsidRPr="00525577">
              <w:rPr>
                <w:sz w:val="24"/>
                <w:szCs w:val="24"/>
              </w:rPr>
              <w:t>3</w:t>
            </w:r>
          </w:p>
        </w:tc>
        <w:tc>
          <w:tcPr>
            <w:tcW w:w="3547" w:type="dxa"/>
            <w:shd w:val="clear" w:color="auto" w:fill="FFFFFF" w:themeFill="background1"/>
          </w:tcPr>
          <w:p w14:paraId="5AA97F8E" w14:textId="43C26333"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submits provider data to the PIHP no less often than once every 28 days [every 14 days recommended] that includes complete and properly formatted data which meets all Provider Directory requirements as by defined contract and by federal regulations including the MDHHS/PIHP contract, LRE P6.3.1. PIHP Customer Services Standards, Medicaid Care Regulations-2016 Final Rule </w:t>
            </w:r>
            <w:r w:rsidRPr="00525577">
              <w:rPr>
                <w:rFonts w:cstheme="minorHAnsi"/>
                <w:color w:val="000000"/>
                <w:sz w:val="24"/>
                <w:szCs w:val="24"/>
              </w:rPr>
              <w:lastRenderedPageBreak/>
              <w:t xml:space="preserve">Update, and the 42 CFR 438.10 as defined in the LRE Provider Directory Policy (6.5).  </w:t>
            </w:r>
          </w:p>
        </w:tc>
        <w:tc>
          <w:tcPr>
            <w:tcW w:w="2615" w:type="dxa"/>
            <w:vMerge/>
            <w:shd w:val="clear" w:color="auto" w:fill="FFFFFF" w:themeFill="background1"/>
          </w:tcPr>
          <w:p w14:paraId="338F5EA7"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1E2EEE02" w14:textId="77777777" w:rsidR="000307F5" w:rsidRPr="00525577" w:rsidRDefault="000307F5" w:rsidP="000307F5">
            <w:pPr>
              <w:rPr>
                <w:rFonts w:cstheme="minorHAnsi"/>
                <w:sz w:val="24"/>
                <w:szCs w:val="24"/>
              </w:rPr>
            </w:pPr>
          </w:p>
        </w:tc>
        <w:tc>
          <w:tcPr>
            <w:tcW w:w="1772" w:type="dxa"/>
            <w:shd w:val="clear" w:color="auto" w:fill="FFFFFF" w:themeFill="background1"/>
          </w:tcPr>
          <w:p w14:paraId="096D8531" w14:textId="77777777" w:rsidR="000307F5" w:rsidRPr="00525577" w:rsidRDefault="000307F5" w:rsidP="000307F5">
            <w:pPr>
              <w:rPr>
                <w:rFonts w:cstheme="minorHAnsi"/>
                <w:sz w:val="24"/>
                <w:szCs w:val="24"/>
              </w:rPr>
            </w:pPr>
          </w:p>
        </w:tc>
        <w:tc>
          <w:tcPr>
            <w:tcW w:w="3557" w:type="dxa"/>
            <w:shd w:val="clear" w:color="auto" w:fill="FFFFFF" w:themeFill="background1"/>
          </w:tcPr>
          <w:p w14:paraId="499B60B2" w14:textId="72F050F7" w:rsidR="000307F5" w:rsidRPr="00525577" w:rsidRDefault="000307F5" w:rsidP="000307F5">
            <w:pPr>
              <w:jc w:val="center"/>
              <w:rPr>
                <w:rFonts w:cstheme="minorHAnsi"/>
                <w:b/>
                <w:bCs/>
                <w:color w:val="FF0000"/>
                <w:sz w:val="24"/>
                <w:szCs w:val="24"/>
              </w:rPr>
            </w:pPr>
          </w:p>
        </w:tc>
      </w:tr>
      <w:tr w:rsidR="000307F5" w:rsidRPr="00525577" w14:paraId="2AE811D5" w14:textId="77777777" w:rsidTr="00B72B6A">
        <w:tc>
          <w:tcPr>
            <w:tcW w:w="926" w:type="dxa"/>
            <w:shd w:val="clear" w:color="auto" w:fill="FFFFFF" w:themeFill="background1"/>
          </w:tcPr>
          <w:p w14:paraId="20548285" w14:textId="7843F99B" w:rsidR="000307F5" w:rsidRPr="00525577" w:rsidRDefault="000307F5" w:rsidP="000307F5">
            <w:pPr>
              <w:rPr>
                <w:sz w:val="24"/>
                <w:szCs w:val="24"/>
              </w:rPr>
            </w:pPr>
            <w:r w:rsidRPr="00525577">
              <w:rPr>
                <w:sz w:val="24"/>
                <w:szCs w:val="24"/>
              </w:rPr>
              <w:t>12.6</w:t>
            </w:r>
            <w:r w:rsidR="00247268" w:rsidRPr="00525577">
              <w:rPr>
                <w:sz w:val="24"/>
                <w:szCs w:val="24"/>
              </w:rPr>
              <w:t>4</w:t>
            </w:r>
          </w:p>
        </w:tc>
        <w:tc>
          <w:tcPr>
            <w:tcW w:w="3547" w:type="dxa"/>
            <w:shd w:val="clear" w:color="auto" w:fill="FFFFFF" w:themeFill="background1"/>
          </w:tcPr>
          <w:p w14:paraId="651FEE4C" w14:textId="15974CDF" w:rsidR="000307F5" w:rsidRPr="00525577" w:rsidRDefault="000307F5" w:rsidP="000307F5">
            <w:pPr>
              <w:rPr>
                <w:rFonts w:cstheme="minorHAnsi"/>
                <w:color w:val="000000"/>
                <w:sz w:val="24"/>
                <w:szCs w:val="24"/>
              </w:rPr>
            </w:pPr>
            <w:r w:rsidRPr="00525577">
              <w:rPr>
                <w:rFonts w:cstheme="minorHAnsi"/>
                <w:color w:val="000000"/>
                <w:sz w:val="24"/>
                <w:szCs w:val="24"/>
              </w:rPr>
              <w:t>The CMHSP uses the recommended best practice of linking their CMHSP website directly to the LRE (MI Recovery) online provider directory to provide consumers with access to the most updated and accurate provider information in a searchable and filterable interface.</w:t>
            </w:r>
          </w:p>
        </w:tc>
        <w:tc>
          <w:tcPr>
            <w:tcW w:w="2615" w:type="dxa"/>
            <w:vMerge w:val="restart"/>
            <w:shd w:val="clear" w:color="auto" w:fill="FFFFFF" w:themeFill="background1"/>
          </w:tcPr>
          <w:p w14:paraId="337DBA7C" w14:textId="77777777" w:rsidR="000307F5" w:rsidRPr="00525577" w:rsidRDefault="000307F5" w:rsidP="000307F5">
            <w:pPr>
              <w:rPr>
                <w:rFonts w:cstheme="minorHAnsi"/>
                <w:color w:val="000000"/>
                <w:sz w:val="24"/>
                <w:szCs w:val="24"/>
              </w:rPr>
            </w:pPr>
            <w:r w:rsidRPr="00525577">
              <w:rPr>
                <w:rFonts w:cstheme="minorHAnsi"/>
                <w:color w:val="000000"/>
                <w:sz w:val="24"/>
                <w:szCs w:val="24"/>
              </w:rPr>
              <w:t xml:space="preserve">HIPAA Security and Privacy, 45 CFR Parts 160 &amp; 164 Subparts A, B, </w:t>
            </w:r>
            <w:proofErr w:type="gramStart"/>
            <w:r w:rsidRPr="00525577">
              <w:rPr>
                <w:rFonts w:cstheme="minorHAnsi"/>
                <w:color w:val="000000"/>
                <w:sz w:val="24"/>
                <w:szCs w:val="24"/>
              </w:rPr>
              <w:t>C ,</w:t>
            </w:r>
            <w:proofErr w:type="gramEnd"/>
            <w:r w:rsidRPr="00525577">
              <w:rPr>
                <w:rFonts w:cstheme="minorHAnsi"/>
                <w:color w:val="000000"/>
                <w:sz w:val="24"/>
                <w:szCs w:val="24"/>
              </w:rPr>
              <w:t xml:space="preserve"> D, </w:t>
            </w:r>
            <w:proofErr w:type="gramStart"/>
            <w:r w:rsidRPr="00525577">
              <w:rPr>
                <w:rFonts w:cstheme="minorHAnsi"/>
                <w:color w:val="000000"/>
                <w:sz w:val="24"/>
                <w:szCs w:val="24"/>
              </w:rPr>
              <w:t>E;</w:t>
            </w:r>
            <w:proofErr w:type="gramEnd"/>
            <w:r w:rsidRPr="00525577">
              <w:rPr>
                <w:rFonts w:cstheme="minorHAnsi"/>
                <w:color w:val="000000"/>
                <w:sz w:val="24"/>
                <w:szCs w:val="24"/>
              </w:rPr>
              <w:t xml:space="preserve"> </w:t>
            </w:r>
          </w:p>
          <w:p w14:paraId="7967FB1D" w14:textId="77777777" w:rsidR="000307F5" w:rsidRPr="00525577" w:rsidRDefault="000307F5" w:rsidP="000307F5">
            <w:pPr>
              <w:rPr>
                <w:rFonts w:cstheme="minorHAnsi"/>
                <w:color w:val="000000"/>
                <w:sz w:val="24"/>
                <w:szCs w:val="24"/>
              </w:rPr>
            </w:pPr>
          </w:p>
          <w:p w14:paraId="1505CC7A" w14:textId="74BA8E9C" w:rsidR="000307F5" w:rsidRPr="00525577" w:rsidRDefault="000307F5" w:rsidP="000307F5">
            <w:pPr>
              <w:rPr>
                <w:rFonts w:cstheme="minorHAnsi"/>
                <w:color w:val="000000"/>
                <w:sz w:val="24"/>
                <w:szCs w:val="24"/>
              </w:rPr>
            </w:pPr>
            <w:r w:rsidRPr="00525577">
              <w:rPr>
                <w:rFonts w:cstheme="minorHAnsi"/>
                <w:color w:val="000000"/>
                <w:sz w:val="24"/>
                <w:szCs w:val="24"/>
              </w:rPr>
              <w:t>LRE/CMHSP Participant contract delegation grid; Commonly accepted IT practices</w:t>
            </w:r>
          </w:p>
        </w:tc>
        <w:tc>
          <w:tcPr>
            <w:tcW w:w="1846" w:type="dxa"/>
            <w:shd w:val="clear" w:color="auto" w:fill="FFFFFF" w:themeFill="background1"/>
          </w:tcPr>
          <w:p w14:paraId="1A822942" w14:textId="77777777" w:rsidR="000307F5" w:rsidRPr="00525577" w:rsidRDefault="000307F5" w:rsidP="000307F5">
            <w:pPr>
              <w:rPr>
                <w:rFonts w:cstheme="minorHAnsi"/>
                <w:sz w:val="24"/>
                <w:szCs w:val="24"/>
              </w:rPr>
            </w:pPr>
          </w:p>
        </w:tc>
        <w:tc>
          <w:tcPr>
            <w:tcW w:w="1772" w:type="dxa"/>
            <w:shd w:val="clear" w:color="auto" w:fill="FFFFFF" w:themeFill="background1"/>
          </w:tcPr>
          <w:p w14:paraId="0E7580A7" w14:textId="77777777" w:rsidR="000307F5" w:rsidRPr="00525577" w:rsidRDefault="000307F5" w:rsidP="000307F5">
            <w:pPr>
              <w:rPr>
                <w:rFonts w:cstheme="minorHAnsi"/>
                <w:sz w:val="24"/>
                <w:szCs w:val="24"/>
              </w:rPr>
            </w:pPr>
          </w:p>
        </w:tc>
        <w:tc>
          <w:tcPr>
            <w:tcW w:w="3557" w:type="dxa"/>
            <w:shd w:val="clear" w:color="auto" w:fill="FFFFFF" w:themeFill="background1"/>
          </w:tcPr>
          <w:p w14:paraId="4CD53892" w14:textId="0BD7DAC4" w:rsidR="000307F5" w:rsidRPr="00525577" w:rsidRDefault="000307F5" w:rsidP="000307F5">
            <w:pPr>
              <w:jc w:val="center"/>
              <w:rPr>
                <w:rFonts w:cstheme="minorHAnsi"/>
                <w:b/>
                <w:bCs/>
                <w:color w:val="FF0000"/>
                <w:sz w:val="24"/>
                <w:szCs w:val="24"/>
              </w:rPr>
            </w:pPr>
          </w:p>
        </w:tc>
      </w:tr>
      <w:tr w:rsidR="000307F5" w:rsidRPr="00525577" w14:paraId="3F386E18" w14:textId="77777777" w:rsidTr="00B72B6A">
        <w:tc>
          <w:tcPr>
            <w:tcW w:w="926" w:type="dxa"/>
            <w:shd w:val="clear" w:color="auto" w:fill="FFFFFF" w:themeFill="background1"/>
          </w:tcPr>
          <w:p w14:paraId="5B71B3F0" w14:textId="0F240062" w:rsidR="000307F5" w:rsidRPr="00525577" w:rsidRDefault="000307F5" w:rsidP="000307F5">
            <w:pPr>
              <w:rPr>
                <w:sz w:val="24"/>
                <w:szCs w:val="24"/>
              </w:rPr>
            </w:pPr>
            <w:r w:rsidRPr="00525577">
              <w:rPr>
                <w:sz w:val="24"/>
                <w:szCs w:val="24"/>
              </w:rPr>
              <w:t>12.6</w:t>
            </w:r>
            <w:r w:rsidR="00247268" w:rsidRPr="00525577">
              <w:rPr>
                <w:sz w:val="24"/>
                <w:szCs w:val="24"/>
              </w:rPr>
              <w:t>5</w:t>
            </w:r>
          </w:p>
        </w:tc>
        <w:tc>
          <w:tcPr>
            <w:tcW w:w="3547" w:type="dxa"/>
            <w:shd w:val="clear" w:color="auto" w:fill="FFFFFF" w:themeFill="background1"/>
          </w:tcPr>
          <w:p w14:paraId="3410EAC2" w14:textId="2D0524EA" w:rsidR="000307F5" w:rsidRPr="00525577" w:rsidRDefault="000307F5" w:rsidP="000307F5">
            <w:pPr>
              <w:rPr>
                <w:rFonts w:cstheme="minorHAnsi"/>
                <w:color w:val="000000"/>
                <w:sz w:val="24"/>
                <w:szCs w:val="24"/>
              </w:rPr>
            </w:pPr>
            <w:r w:rsidRPr="00525577">
              <w:rPr>
                <w:rFonts w:cstheme="minorHAnsi"/>
                <w:color w:val="000000"/>
                <w:sz w:val="24"/>
                <w:szCs w:val="24"/>
              </w:rPr>
              <w:t xml:space="preserve">The CMHSP has general system controls and quality procedures in place to verify the validity and reliability of data submissions transmitted to the PIHP. Additionally, the CMHSP has policies or specific work </w:t>
            </w:r>
            <w:r w:rsidRPr="00525577">
              <w:rPr>
                <w:rFonts w:cstheme="minorHAnsi"/>
                <w:color w:val="000000"/>
                <w:sz w:val="24"/>
                <w:szCs w:val="24"/>
              </w:rPr>
              <w:lastRenderedPageBreak/>
              <w:t>procedures in place associated with each individual data submission type, to guide the appropriate validation, submission, and reconciliation processes for each, ensuring data completeness and reliability for BH-TEDS, QI, claims/encounters, critical incidents, and performance indicator data.</w:t>
            </w:r>
          </w:p>
        </w:tc>
        <w:tc>
          <w:tcPr>
            <w:tcW w:w="2615" w:type="dxa"/>
            <w:vMerge/>
            <w:shd w:val="clear" w:color="auto" w:fill="FFFFFF" w:themeFill="background1"/>
          </w:tcPr>
          <w:p w14:paraId="080AF5E3" w14:textId="77777777" w:rsidR="000307F5" w:rsidRPr="00525577" w:rsidRDefault="000307F5" w:rsidP="000307F5">
            <w:pPr>
              <w:rPr>
                <w:rFonts w:cstheme="minorHAnsi"/>
                <w:color w:val="000000"/>
                <w:sz w:val="24"/>
                <w:szCs w:val="24"/>
              </w:rPr>
            </w:pPr>
          </w:p>
        </w:tc>
        <w:tc>
          <w:tcPr>
            <w:tcW w:w="1846" w:type="dxa"/>
            <w:shd w:val="clear" w:color="auto" w:fill="FFFFFF" w:themeFill="background1"/>
          </w:tcPr>
          <w:p w14:paraId="2787BE0A" w14:textId="77777777" w:rsidR="000307F5" w:rsidRPr="00525577" w:rsidRDefault="000307F5" w:rsidP="000307F5">
            <w:pPr>
              <w:rPr>
                <w:rFonts w:cstheme="minorHAnsi"/>
                <w:sz w:val="24"/>
                <w:szCs w:val="24"/>
              </w:rPr>
            </w:pPr>
          </w:p>
        </w:tc>
        <w:tc>
          <w:tcPr>
            <w:tcW w:w="1772" w:type="dxa"/>
            <w:shd w:val="clear" w:color="auto" w:fill="FFFFFF" w:themeFill="background1"/>
          </w:tcPr>
          <w:p w14:paraId="1D923E6E" w14:textId="77777777" w:rsidR="000307F5" w:rsidRPr="00525577" w:rsidRDefault="000307F5" w:rsidP="000307F5">
            <w:pPr>
              <w:rPr>
                <w:rFonts w:cstheme="minorHAnsi"/>
                <w:sz w:val="24"/>
                <w:szCs w:val="24"/>
              </w:rPr>
            </w:pPr>
          </w:p>
        </w:tc>
        <w:tc>
          <w:tcPr>
            <w:tcW w:w="3557" w:type="dxa"/>
            <w:shd w:val="clear" w:color="auto" w:fill="FFFFFF" w:themeFill="background1"/>
          </w:tcPr>
          <w:p w14:paraId="0E71CFAA" w14:textId="05398CB6" w:rsidR="000307F5" w:rsidRPr="00525577" w:rsidRDefault="000307F5" w:rsidP="000307F5">
            <w:pPr>
              <w:jc w:val="center"/>
              <w:rPr>
                <w:rFonts w:cstheme="minorHAnsi"/>
                <w:b/>
                <w:bCs/>
                <w:color w:val="FF0000"/>
                <w:sz w:val="24"/>
                <w:szCs w:val="24"/>
              </w:rPr>
            </w:pPr>
          </w:p>
        </w:tc>
      </w:tr>
    </w:tbl>
    <w:p w14:paraId="4556B9C3" w14:textId="1FA6500C" w:rsidR="00E91794" w:rsidRDefault="00225DB4">
      <w:r>
        <w:br w:type="textWrapping" w:clear="all"/>
      </w:r>
    </w:p>
    <w:sectPr w:rsidR="00E91794" w:rsidSect="004C3D2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A195" w14:textId="77777777" w:rsidR="00F84A9D" w:rsidRDefault="00F84A9D" w:rsidP="00394F04">
      <w:pPr>
        <w:spacing w:after="0" w:line="240" w:lineRule="auto"/>
      </w:pPr>
      <w:r>
        <w:separator/>
      </w:r>
    </w:p>
  </w:endnote>
  <w:endnote w:type="continuationSeparator" w:id="0">
    <w:p w14:paraId="0D7A81A6" w14:textId="77777777" w:rsidR="00F84A9D" w:rsidRDefault="00F84A9D" w:rsidP="00394F04">
      <w:pPr>
        <w:spacing w:after="0" w:line="240" w:lineRule="auto"/>
      </w:pPr>
      <w:r>
        <w:continuationSeparator/>
      </w:r>
    </w:p>
  </w:endnote>
  <w:endnote w:type="continuationNotice" w:id="1">
    <w:p w14:paraId="5245EC5C" w14:textId="77777777" w:rsidR="00F84A9D" w:rsidRDefault="00F84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9230"/>
      <w:docPartObj>
        <w:docPartGallery w:val="Page Numbers (Bottom of Page)"/>
        <w:docPartUnique/>
      </w:docPartObj>
    </w:sdtPr>
    <w:sdtEndPr>
      <w:rPr>
        <w:noProof/>
      </w:rPr>
    </w:sdtEndPr>
    <w:sdtContent>
      <w:p w14:paraId="751F8F5D" w14:textId="66291D28" w:rsidR="00574A94" w:rsidRDefault="00574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8A96F" w14:textId="77777777" w:rsidR="005D6E44" w:rsidRDefault="005D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2400" w14:textId="77777777" w:rsidR="00F84A9D" w:rsidRDefault="00F84A9D" w:rsidP="00394F04">
      <w:pPr>
        <w:spacing w:after="0" w:line="240" w:lineRule="auto"/>
      </w:pPr>
      <w:r>
        <w:separator/>
      </w:r>
    </w:p>
  </w:footnote>
  <w:footnote w:type="continuationSeparator" w:id="0">
    <w:p w14:paraId="0AA7E057" w14:textId="77777777" w:rsidR="00F84A9D" w:rsidRDefault="00F84A9D" w:rsidP="00394F04">
      <w:pPr>
        <w:spacing w:after="0" w:line="240" w:lineRule="auto"/>
      </w:pPr>
      <w:r>
        <w:continuationSeparator/>
      </w:r>
    </w:p>
  </w:footnote>
  <w:footnote w:type="continuationNotice" w:id="1">
    <w:p w14:paraId="3458B849" w14:textId="77777777" w:rsidR="00F84A9D" w:rsidRDefault="00F84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41D8" w14:textId="2C0E7BC8" w:rsidR="0013582E" w:rsidRDefault="0013582E">
    <w:pPr>
      <w:pStyle w:val="Header"/>
    </w:pPr>
  </w:p>
  <w:tbl>
    <w:tblPr>
      <w:tblStyle w:val="TableGrid"/>
      <w:tblW w:w="0" w:type="auto"/>
      <w:tblLook w:val="04A0" w:firstRow="1" w:lastRow="0" w:firstColumn="1" w:lastColumn="0" w:noHBand="0" w:noVBand="1"/>
    </w:tblPr>
    <w:tblGrid>
      <w:gridCol w:w="14390"/>
    </w:tblGrid>
    <w:tr w:rsidR="0013582E" w14:paraId="128ADD62" w14:textId="77777777" w:rsidTr="001E21E9">
      <w:trPr>
        <w:trHeight w:val="498"/>
      </w:trPr>
      <w:tc>
        <w:tcPr>
          <w:tcW w:w="14390" w:type="dxa"/>
          <w:shd w:val="clear" w:color="auto" w:fill="8EAADB" w:themeFill="accent1" w:themeFillTint="99"/>
        </w:tcPr>
        <w:p w14:paraId="44EEA7C0" w14:textId="77777777" w:rsidR="0013582E" w:rsidRDefault="0013582E" w:rsidP="0013582E">
          <w:pPr>
            <w:pStyle w:val="Heading1"/>
            <w:jc w:val="center"/>
            <w:rPr>
              <w:rFonts w:ascii="Calibri Light" w:eastAsia="Calibri Light" w:hAnsi="Calibri Light" w:cs="Calibri Light"/>
              <w:b/>
              <w:bCs/>
              <w:color w:val="000000" w:themeColor="text1"/>
              <w:sz w:val="28"/>
              <w:szCs w:val="28"/>
            </w:rPr>
          </w:pPr>
          <w:r w:rsidRPr="368FE109">
            <w:rPr>
              <w:rFonts w:ascii="Calibri Light" w:eastAsia="Calibri Light" w:hAnsi="Calibri Light" w:cs="Calibri Light"/>
              <w:b/>
              <w:bCs/>
              <w:color w:val="000000" w:themeColor="text1"/>
              <w:sz w:val="28"/>
              <w:szCs w:val="28"/>
            </w:rPr>
            <w:t>LRE Monitoring of Delegated Functions – Admin/Managed Care Functions</w:t>
          </w:r>
        </w:p>
        <w:p w14:paraId="12A65801" w14:textId="77777777" w:rsidR="0013582E" w:rsidRDefault="0013582E" w:rsidP="0013582E">
          <w:pPr>
            <w:rPr>
              <w:rFonts w:eastAsia="Calibri"/>
              <w:b/>
              <w:bCs/>
              <w:sz w:val="20"/>
              <w:szCs w:val="20"/>
            </w:rPr>
          </w:pPr>
        </w:p>
      </w:tc>
    </w:tr>
  </w:tbl>
  <w:p w14:paraId="73F211B9" w14:textId="41EFEAC6" w:rsidR="0013582E" w:rsidRDefault="0013582E">
    <w:pPr>
      <w:pStyle w:val="Header"/>
    </w:pPr>
  </w:p>
  <w:p w14:paraId="24A9A2E8" w14:textId="77777777" w:rsidR="0013582E" w:rsidRDefault="00135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E"/>
    <w:rsid w:val="00010A11"/>
    <w:rsid w:val="00010FCF"/>
    <w:rsid w:val="00011841"/>
    <w:rsid w:val="00013E66"/>
    <w:rsid w:val="00022F93"/>
    <w:rsid w:val="000307F5"/>
    <w:rsid w:val="000568EE"/>
    <w:rsid w:val="000A2821"/>
    <w:rsid w:val="000A2F7D"/>
    <w:rsid w:val="000A33E1"/>
    <w:rsid w:val="000A34F8"/>
    <w:rsid w:val="000A5EB6"/>
    <w:rsid w:val="000B75FA"/>
    <w:rsid w:val="000C53C2"/>
    <w:rsid w:val="000C6ABE"/>
    <w:rsid w:val="000D7138"/>
    <w:rsid w:val="00133144"/>
    <w:rsid w:val="0013582E"/>
    <w:rsid w:val="00145C9D"/>
    <w:rsid w:val="0015200D"/>
    <w:rsid w:val="00162EE5"/>
    <w:rsid w:val="00170852"/>
    <w:rsid w:val="00171694"/>
    <w:rsid w:val="001727D0"/>
    <w:rsid w:val="001901EA"/>
    <w:rsid w:val="001A2C79"/>
    <w:rsid w:val="001A4CB3"/>
    <w:rsid w:val="001D0EFA"/>
    <w:rsid w:val="001E34B5"/>
    <w:rsid w:val="0020543A"/>
    <w:rsid w:val="00225DB4"/>
    <w:rsid w:val="00233D95"/>
    <w:rsid w:val="00236B70"/>
    <w:rsid w:val="00237C61"/>
    <w:rsid w:val="00240C3C"/>
    <w:rsid w:val="00247268"/>
    <w:rsid w:val="002844C4"/>
    <w:rsid w:val="00285AFD"/>
    <w:rsid w:val="00293953"/>
    <w:rsid w:val="002C6EAE"/>
    <w:rsid w:val="002D7F3D"/>
    <w:rsid w:val="00302CDB"/>
    <w:rsid w:val="00317A19"/>
    <w:rsid w:val="00325F4A"/>
    <w:rsid w:val="003308A7"/>
    <w:rsid w:val="00331544"/>
    <w:rsid w:val="00331DF4"/>
    <w:rsid w:val="00336271"/>
    <w:rsid w:val="003407A6"/>
    <w:rsid w:val="00345E28"/>
    <w:rsid w:val="00367441"/>
    <w:rsid w:val="00381781"/>
    <w:rsid w:val="00381B1F"/>
    <w:rsid w:val="00385D4E"/>
    <w:rsid w:val="003905EB"/>
    <w:rsid w:val="0039101A"/>
    <w:rsid w:val="00394F04"/>
    <w:rsid w:val="003A4A43"/>
    <w:rsid w:val="003E1018"/>
    <w:rsid w:val="003F2A27"/>
    <w:rsid w:val="003F475F"/>
    <w:rsid w:val="00465F72"/>
    <w:rsid w:val="004753B4"/>
    <w:rsid w:val="0048342A"/>
    <w:rsid w:val="00492BBC"/>
    <w:rsid w:val="00493233"/>
    <w:rsid w:val="004A589F"/>
    <w:rsid w:val="004C3D2E"/>
    <w:rsid w:val="004E178D"/>
    <w:rsid w:val="004E2A9E"/>
    <w:rsid w:val="00517381"/>
    <w:rsid w:val="00517659"/>
    <w:rsid w:val="00525577"/>
    <w:rsid w:val="00533337"/>
    <w:rsid w:val="00537539"/>
    <w:rsid w:val="00557AB7"/>
    <w:rsid w:val="005643C7"/>
    <w:rsid w:val="0056472A"/>
    <w:rsid w:val="00566FE0"/>
    <w:rsid w:val="00574A94"/>
    <w:rsid w:val="00582779"/>
    <w:rsid w:val="00595DE5"/>
    <w:rsid w:val="005BD3C9"/>
    <w:rsid w:val="005D6E44"/>
    <w:rsid w:val="005D70D1"/>
    <w:rsid w:val="005D7AB2"/>
    <w:rsid w:val="005E07D2"/>
    <w:rsid w:val="005E2456"/>
    <w:rsid w:val="005E3CD0"/>
    <w:rsid w:val="006110CF"/>
    <w:rsid w:val="00617B6C"/>
    <w:rsid w:val="006516F8"/>
    <w:rsid w:val="00682868"/>
    <w:rsid w:val="006842DB"/>
    <w:rsid w:val="0068607E"/>
    <w:rsid w:val="006A5077"/>
    <w:rsid w:val="006A6129"/>
    <w:rsid w:val="006E4288"/>
    <w:rsid w:val="006E6F33"/>
    <w:rsid w:val="006F0284"/>
    <w:rsid w:val="00703C83"/>
    <w:rsid w:val="0073484E"/>
    <w:rsid w:val="0075080C"/>
    <w:rsid w:val="007570B4"/>
    <w:rsid w:val="007877AE"/>
    <w:rsid w:val="007B05DD"/>
    <w:rsid w:val="007B2587"/>
    <w:rsid w:val="007B30E9"/>
    <w:rsid w:val="007C3689"/>
    <w:rsid w:val="007E791B"/>
    <w:rsid w:val="007F1AFC"/>
    <w:rsid w:val="008025D7"/>
    <w:rsid w:val="0080272A"/>
    <w:rsid w:val="0082038F"/>
    <w:rsid w:val="00822721"/>
    <w:rsid w:val="00822C63"/>
    <w:rsid w:val="00834B68"/>
    <w:rsid w:val="00844E7B"/>
    <w:rsid w:val="00845583"/>
    <w:rsid w:val="00861655"/>
    <w:rsid w:val="0086371A"/>
    <w:rsid w:val="00871A35"/>
    <w:rsid w:val="008A7533"/>
    <w:rsid w:val="008B4C5E"/>
    <w:rsid w:val="008D4ACF"/>
    <w:rsid w:val="008D8C10"/>
    <w:rsid w:val="008E16CB"/>
    <w:rsid w:val="008F351F"/>
    <w:rsid w:val="008F6329"/>
    <w:rsid w:val="00903E87"/>
    <w:rsid w:val="009075B8"/>
    <w:rsid w:val="0092B70F"/>
    <w:rsid w:val="009509A1"/>
    <w:rsid w:val="009538F7"/>
    <w:rsid w:val="00994FD4"/>
    <w:rsid w:val="009C48D0"/>
    <w:rsid w:val="009D29B0"/>
    <w:rsid w:val="009E626F"/>
    <w:rsid w:val="00A05BD9"/>
    <w:rsid w:val="00A0634E"/>
    <w:rsid w:val="00A1404E"/>
    <w:rsid w:val="00A26AA6"/>
    <w:rsid w:val="00A26C22"/>
    <w:rsid w:val="00A32DDD"/>
    <w:rsid w:val="00A60841"/>
    <w:rsid w:val="00A65593"/>
    <w:rsid w:val="00A87662"/>
    <w:rsid w:val="00A9137A"/>
    <w:rsid w:val="00AB4B88"/>
    <w:rsid w:val="00AB4CF6"/>
    <w:rsid w:val="00AC0450"/>
    <w:rsid w:val="00AC2084"/>
    <w:rsid w:val="00AD4D70"/>
    <w:rsid w:val="00AD50D4"/>
    <w:rsid w:val="00B35A79"/>
    <w:rsid w:val="00B371D3"/>
    <w:rsid w:val="00B40E35"/>
    <w:rsid w:val="00B46C71"/>
    <w:rsid w:val="00B53B96"/>
    <w:rsid w:val="00B572BB"/>
    <w:rsid w:val="00B63744"/>
    <w:rsid w:val="00B6786E"/>
    <w:rsid w:val="00B72B6A"/>
    <w:rsid w:val="00B8011E"/>
    <w:rsid w:val="00B9190F"/>
    <w:rsid w:val="00B97511"/>
    <w:rsid w:val="00BA3F49"/>
    <w:rsid w:val="00BD3209"/>
    <w:rsid w:val="00BD3619"/>
    <w:rsid w:val="00BD745A"/>
    <w:rsid w:val="00BF26D6"/>
    <w:rsid w:val="00BF27F1"/>
    <w:rsid w:val="00C043D2"/>
    <w:rsid w:val="00C044B8"/>
    <w:rsid w:val="00C16195"/>
    <w:rsid w:val="00C2538C"/>
    <w:rsid w:val="00C4481E"/>
    <w:rsid w:val="00C67AAA"/>
    <w:rsid w:val="00C71984"/>
    <w:rsid w:val="00C73BFC"/>
    <w:rsid w:val="00C77309"/>
    <w:rsid w:val="00C8002D"/>
    <w:rsid w:val="00C921C9"/>
    <w:rsid w:val="00C94A5D"/>
    <w:rsid w:val="00CB6DAC"/>
    <w:rsid w:val="00CB7AC5"/>
    <w:rsid w:val="00CC308F"/>
    <w:rsid w:val="00CD15E0"/>
    <w:rsid w:val="00CD26D6"/>
    <w:rsid w:val="00CE2893"/>
    <w:rsid w:val="00CF1B71"/>
    <w:rsid w:val="00D10EDB"/>
    <w:rsid w:val="00D156D6"/>
    <w:rsid w:val="00D52A97"/>
    <w:rsid w:val="00D52D6C"/>
    <w:rsid w:val="00D60439"/>
    <w:rsid w:val="00D60734"/>
    <w:rsid w:val="00DE6FF6"/>
    <w:rsid w:val="00DF68B7"/>
    <w:rsid w:val="00E027EB"/>
    <w:rsid w:val="00E12630"/>
    <w:rsid w:val="00E27FCF"/>
    <w:rsid w:val="00E529B8"/>
    <w:rsid w:val="00E874DB"/>
    <w:rsid w:val="00E91794"/>
    <w:rsid w:val="00E919D5"/>
    <w:rsid w:val="00E92341"/>
    <w:rsid w:val="00EC4529"/>
    <w:rsid w:val="00EC5042"/>
    <w:rsid w:val="00ED64EB"/>
    <w:rsid w:val="00EE0675"/>
    <w:rsid w:val="00F11469"/>
    <w:rsid w:val="00F1353C"/>
    <w:rsid w:val="00F225E9"/>
    <w:rsid w:val="00F419B0"/>
    <w:rsid w:val="00F55450"/>
    <w:rsid w:val="00F6349C"/>
    <w:rsid w:val="00F63EA9"/>
    <w:rsid w:val="00F720CD"/>
    <w:rsid w:val="00F8077A"/>
    <w:rsid w:val="00F84A9D"/>
    <w:rsid w:val="00F85D76"/>
    <w:rsid w:val="00FA1211"/>
    <w:rsid w:val="00FB0F57"/>
    <w:rsid w:val="00FF5EA6"/>
    <w:rsid w:val="00FF6810"/>
    <w:rsid w:val="0216B311"/>
    <w:rsid w:val="037F9E6B"/>
    <w:rsid w:val="0540B686"/>
    <w:rsid w:val="05C0ED7F"/>
    <w:rsid w:val="061AB5B2"/>
    <w:rsid w:val="06366DC5"/>
    <w:rsid w:val="068765FB"/>
    <w:rsid w:val="069035F8"/>
    <w:rsid w:val="06D9F80E"/>
    <w:rsid w:val="0815A824"/>
    <w:rsid w:val="08907E99"/>
    <w:rsid w:val="08AF03CB"/>
    <w:rsid w:val="08E38931"/>
    <w:rsid w:val="08E4B821"/>
    <w:rsid w:val="0910326A"/>
    <w:rsid w:val="095D0586"/>
    <w:rsid w:val="0A5F0EF3"/>
    <w:rsid w:val="0AC971D5"/>
    <w:rsid w:val="0B52520A"/>
    <w:rsid w:val="0B6C90C0"/>
    <w:rsid w:val="0B7BD359"/>
    <w:rsid w:val="0CE55FAA"/>
    <w:rsid w:val="0DA2C206"/>
    <w:rsid w:val="0DCF2692"/>
    <w:rsid w:val="0DE655B6"/>
    <w:rsid w:val="0DF5984F"/>
    <w:rsid w:val="0E6DE5B4"/>
    <w:rsid w:val="0EB2DCA3"/>
    <w:rsid w:val="0EC8DCD7"/>
    <w:rsid w:val="0FFA9E0A"/>
    <w:rsid w:val="10DFBE1F"/>
    <w:rsid w:val="113BE432"/>
    <w:rsid w:val="11B1622B"/>
    <w:rsid w:val="12AF963F"/>
    <w:rsid w:val="1307F32C"/>
    <w:rsid w:val="136040B0"/>
    <w:rsid w:val="138E087B"/>
    <w:rsid w:val="13A804BE"/>
    <w:rsid w:val="13B009FC"/>
    <w:rsid w:val="140C9775"/>
    <w:rsid w:val="143382C8"/>
    <w:rsid w:val="14430C8C"/>
    <w:rsid w:val="163C52D7"/>
    <w:rsid w:val="16AF2C5D"/>
    <w:rsid w:val="16DB11F9"/>
    <w:rsid w:val="172F7FEB"/>
    <w:rsid w:val="17EC5DFF"/>
    <w:rsid w:val="1830D93D"/>
    <w:rsid w:val="189A5FBA"/>
    <w:rsid w:val="18EA9D33"/>
    <w:rsid w:val="1A354BE8"/>
    <w:rsid w:val="1AB92D8D"/>
    <w:rsid w:val="1B2EADD3"/>
    <w:rsid w:val="1B4D3305"/>
    <w:rsid w:val="1C0A7759"/>
    <w:rsid w:val="1D172845"/>
    <w:rsid w:val="1D2451F2"/>
    <w:rsid w:val="1DF10DF7"/>
    <w:rsid w:val="1E0A7928"/>
    <w:rsid w:val="1E4CEEE4"/>
    <w:rsid w:val="1EFC89B4"/>
    <w:rsid w:val="1F349BEA"/>
    <w:rsid w:val="1F712680"/>
    <w:rsid w:val="20C84CEF"/>
    <w:rsid w:val="20ED8FBC"/>
    <w:rsid w:val="216FCE51"/>
    <w:rsid w:val="22221C24"/>
    <w:rsid w:val="22C281F7"/>
    <w:rsid w:val="22F805ED"/>
    <w:rsid w:val="23290DBC"/>
    <w:rsid w:val="2360A419"/>
    <w:rsid w:val="23DEDF89"/>
    <w:rsid w:val="24AC2904"/>
    <w:rsid w:val="2534DF3A"/>
    <w:rsid w:val="2587F28A"/>
    <w:rsid w:val="25FE6FEA"/>
    <w:rsid w:val="263DAEFA"/>
    <w:rsid w:val="2677EC3F"/>
    <w:rsid w:val="269D2F0C"/>
    <w:rsid w:val="26C99DE7"/>
    <w:rsid w:val="272D4408"/>
    <w:rsid w:val="27BCC091"/>
    <w:rsid w:val="27CC032A"/>
    <w:rsid w:val="28B06A32"/>
    <w:rsid w:val="28C82872"/>
    <w:rsid w:val="290F0777"/>
    <w:rsid w:val="297D68EF"/>
    <w:rsid w:val="298D8546"/>
    <w:rsid w:val="29FFFB44"/>
    <w:rsid w:val="2A1F5663"/>
    <w:rsid w:val="2AB32F8E"/>
    <w:rsid w:val="2AB62238"/>
    <w:rsid w:val="2B480293"/>
    <w:rsid w:val="2B646D0B"/>
    <w:rsid w:val="2BEBF2D9"/>
    <w:rsid w:val="2C278B8F"/>
    <w:rsid w:val="2CAF1B8D"/>
    <w:rsid w:val="2D1564D9"/>
    <w:rsid w:val="2DA200CE"/>
    <w:rsid w:val="2DA52842"/>
    <w:rsid w:val="2DD607B9"/>
    <w:rsid w:val="2E465962"/>
    <w:rsid w:val="2E99B25E"/>
    <w:rsid w:val="2E9BFD83"/>
    <w:rsid w:val="2F26D522"/>
    <w:rsid w:val="2F28E083"/>
    <w:rsid w:val="2FCEF5B3"/>
    <w:rsid w:val="30E3FE4B"/>
    <w:rsid w:val="311CB3AA"/>
    <w:rsid w:val="31386BBD"/>
    <w:rsid w:val="313B6424"/>
    <w:rsid w:val="31607BA9"/>
    <w:rsid w:val="31CF3E54"/>
    <w:rsid w:val="3204F2AA"/>
    <w:rsid w:val="328E011C"/>
    <w:rsid w:val="330CA88A"/>
    <w:rsid w:val="335F74DA"/>
    <w:rsid w:val="3389AB5E"/>
    <w:rsid w:val="338BBEF6"/>
    <w:rsid w:val="33EB78D0"/>
    <w:rsid w:val="345F037E"/>
    <w:rsid w:val="35261ECD"/>
    <w:rsid w:val="352B8A6B"/>
    <w:rsid w:val="356B7FAE"/>
    <w:rsid w:val="362911FF"/>
    <w:rsid w:val="368FE109"/>
    <w:rsid w:val="36C43F85"/>
    <w:rsid w:val="36EF611B"/>
    <w:rsid w:val="373B15A5"/>
    <w:rsid w:val="37ACA56F"/>
    <w:rsid w:val="37B0AE1E"/>
    <w:rsid w:val="37CBFE95"/>
    <w:rsid w:val="384B6491"/>
    <w:rsid w:val="3918E898"/>
    <w:rsid w:val="39D230DD"/>
    <w:rsid w:val="3A2D2800"/>
    <w:rsid w:val="3AF51480"/>
    <w:rsid w:val="3BD8490C"/>
    <w:rsid w:val="3BE1BC17"/>
    <w:rsid w:val="3BF34894"/>
    <w:rsid w:val="3D00E5FE"/>
    <w:rsid w:val="3D0392AF"/>
    <w:rsid w:val="3E0F3669"/>
    <w:rsid w:val="3ED4FD62"/>
    <w:rsid w:val="3F9112C6"/>
    <w:rsid w:val="3FA841EA"/>
    <w:rsid w:val="40529A72"/>
    <w:rsid w:val="412E2B49"/>
    <w:rsid w:val="41336F0C"/>
    <w:rsid w:val="416A3A15"/>
    <w:rsid w:val="41928A57"/>
    <w:rsid w:val="41AFE099"/>
    <w:rsid w:val="41C70FBD"/>
    <w:rsid w:val="422F96E9"/>
    <w:rsid w:val="424E9FBB"/>
    <w:rsid w:val="42E23FF7"/>
    <w:rsid w:val="43CCA65C"/>
    <w:rsid w:val="444A5F6D"/>
    <w:rsid w:val="450C2CB0"/>
    <w:rsid w:val="45E77E25"/>
    <w:rsid w:val="471BB7EA"/>
    <w:rsid w:val="472AFA83"/>
    <w:rsid w:val="475F7FE9"/>
    <w:rsid w:val="4785F1A6"/>
    <w:rsid w:val="47AB3473"/>
    <w:rsid w:val="47FE3F0B"/>
    <w:rsid w:val="48D78BC3"/>
    <w:rsid w:val="4928354A"/>
    <w:rsid w:val="49CA0246"/>
    <w:rsid w:val="49E88778"/>
    <w:rsid w:val="4A424FAB"/>
    <w:rsid w:val="4A7F5A0F"/>
    <w:rsid w:val="4A955A43"/>
    <w:rsid w:val="4B133C66"/>
    <w:rsid w:val="4B75EAD0"/>
    <w:rsid w:val="4C02CC5C"/>
    <w:rsid w:val="4CB42816"/>
    <w:rsid w:val="4D32AE99"/>
    <w:rsid w:val="4DBD20F4"/>
    <w:rsid w:val="4FD68163"/>
    <w:rsid w:val="4FE3AB26"/>
    <w:rsid w:val="501FB6C6"/>
    <w:rsid w:val="5027A351"/>
    <w:rsid w:val="516E0EA1"/>
    <w:rsid w:val="517CB756"/>
    <w:rsid w:val="519B3C88"/>
    <w:rsid w:val="51CCF4CF"/>
    <w:rsid w:val="51E6F112"/>
    <w:rsid w:val="523E8499"/>
    <w:rsid w:val="527AF68A"/>
    <w:rsid w:val="52FCF7DD"/>
    <w:rsid w:val="5311C921"/>
    <w:rsid w:val="5346E95D"/>
    <w:rsid w:val="534BF2E3"/>
    <w:rsid w:val="538C4290"/>
    <w:rsid w:val="5459904D"/>
    <w:rsid w:val="5547C618"/>
    <w:rsid w:val="555D8F3B"/>
    <w:rsid w:val="5626706D"/>
    <w:rsid w:val="56406E39"/>
    <w:rsid w:val="56DDD4FD"/>
    <w:rsid w:val="571103CC"/>
    <w:rsid w:val="579B1951"/>
    <w:rsid w:val="57CF9EB7"/>
    <w:rsid w:val="57E03869"/>
    <w:rsid w:val="57EE23E9"/>
    <w:rsid w:val="581EA136"/>
    <w:rsid w:val="58C898F2"/>
    <w:rsid w:val="58D0AB0A"/>
    <w:rsid w:val="58DFEDA3"/>
    <w:rsid w:val="59BD95F4"/>
    <w:rsid w:val="59CFE758"/>
    <w:rsid w:val="59EE6C8A"/>
    <w:rsid w:val="5A5CB245"/>
    <w:rsid w:val="5A8D2BAC"/>
    <w:rsid w:val="5AFEBB76"/>
    <w:rsid w:val="5CBF530E"/>
    <w:rsid w:val="5D0124C5"/>
    <w:rsid w:val="5D15044B"/>
    <w:rsid w:val="5D655EFF"/>
    <w:rsid w:val="5E1081F3"/>
    <w:rsid w:val="5E51510F"/>
    <w:rsid w:val="5EE0C786"/>
    <w:rsid w:val="5F6CC454"/>
    <w:rsid w:val="5FAD4E73"/>
    <w:rsid w:val="5FFBD01C"/>
    <w:rsid w:val="5FFD66CD"/>
    <w:rsid w:val="602D8863"/>
    <w:rsid w:val="60B64751"/>
    <w:rsid w:val="616EF756"/>
    <w:rsid w:val="62271369"/>
    <w:rsid w:val="629F60CE"/>
    <w:rsid w:val="62C89FAA"/>
    <w:rsid w:val="6353F5E9"/>
    <w:rsid w:val="640BA3F7"/>
    <w:rsid w:val="65133DDD"/>
    <w:rsid w:val="655CEDC3"/>
    <w:rsid w:val="657EA9CB"/>
    <w:rsid w:val="65C11F87"/>
    <w:rsid w:val="66D53ACC"/>
    <w:rsid w:val="67ABB80D"/>
    <w:rsid w:val="6829BD51"/>
    <w:rsid w:val="685E42B7"/>
    <w:rsid w:val="695F4F0A"/>
    <w:rsid w:val="69DF405E"/>
    <w:rsid w:val="6A7D108A"/>
    <w:rsid w:val="6AADB60B"/>
    <w:rsid w:val="6ABC4F9A"/>
    <w:rsid w:val="6AC22C42"/>
    <w:rsid w:val="6B207B3A"/>
    <w:rsid w:val="6BF0A9E6"/>
    <w:rsid w:val="6CE0992B"/>
    <w:rsid w:val="6D1C184D"/>
    <w:rsid w:val="6E2ABCBD"/>
    <w:rsid w:val="6EED5DA9"/>
    <w:rsid w:val="6F385A27"/>
    <w:rsid w:val="6FAEAA96"/>
    <w:rsid w:val="6FEAA7FA"/>
    <w:rsid w:val="700E2AA8"/>
    <w:rsid w:val="7087A6FD"/>
    <w:rsid w:val="70E46FE5"/>
    <w:rsid w:val="71CD7869"/>
    <w:rsid w:val="722CF87B"/>
    <w:rsid w:val="7279F244"/>
    <w:rsid w:val="72D84544"/>
    <w:rsid w:val="73628A34"/>
    <w:rsid w:val="7379B958"/>
    <w:rsid w:val="73D7580B"/>
    <w:rsid w:val="752A2A22"/>
    <w:rsid w:val="75ED92BF"/>
    <w:rsid w:val="777D17B9"/>
    <w:rsid w:val="77FB1CFD"/>
    <w:rsid w:val="782B1974"/>
    <w:rsid w:val="784E2795"/>
    <w:rsid w:val="78544530"/>
    <w:rsid w:val="7922F7EA"/>
    <w:rsid w:val="799BE58C"/>
    <w:rsid w:val="79C81562"/>
    <w:rsid w:val="79D53F0F"/>
    <w:rsid w:val="7A5929E0"/>
    <w:rsid w:val="7A9CF1DF"/>
    <w:rsid w:val="7AED2F58"/>
    <w:rsid w:val="7AEEAB61"/>
    <w:rsid w:val="7B6551D6"/>
    <w:rsid w:val="7B7CABE1"/>
    <w:rsid w:val="7C171AA9"/>
    <w:rsid w:val="7C43BEF7"/>
    <w:rsid w:val="7D4B3C3B"/>
    <w:rsid w:val="7D7636E7"/>
    <w:rsid w:val="7D9D42A2"/>
    <w:rsid w:val="7DAA6C4F"/>
    <w:rsid w:val="7E2DE51B"/>
    <w:rsid w:val="7E497B6F"/>
    <w:rsid w:val="7EEF909F"/>
    <w:rsid w:val="7FC09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696B"/>
  <w15:chartTrackingRefBased/>
  <w15:docId w15:val="{E97F58D4-4398-4178-B9C9-C6D1392C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04"/>
  </w:style>
  <w:style w:type="paragraph" w:styleId="Footer">
    <w:name w:val="footer"/>
    <w:basedOn w:val="Normal"/>
    <w:link w:val="FooterChar"/>
    <w:uiPriority w:val="99"/>
    <w:unhideWhenUsed/>
    <w:rsid w:val="0039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04"/>
  </w:style>
  <w:style w:type="character" w:customStyle="1" w:styleId="Heading1Char">
    <w:name w:val="Heading 1 Char"/>
    <w:basedOn w:val="DefaultParagraphFont"/>
    <w:link w:val="Heading1"/>
    <w:uiPriority w:val="9"/>
    <w:rsid w:val="0029395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8607E"/>
    <w:pPr>
      <w:spacing w:after="0" w:line="240" w:lineRule="auto"/>
    </w:pPr>
  </w:style>
  <w:style w:type="character" w:styleId="CommentReference">
    <w:name w:val="annotation reference"/>
    <w:basedOn w:val="DefaultParagraphFont"/>
    <w:uiPriority w:val="99"/>
    <w:semiHidden/>
    <w:unhideWhenUsed/>
    <w:rsid w:val="005E3CD0"/>
    <w:rPr>
      <w:sz w:val="16"/>
      <w:szCs w:val="16"/>
    </w:rPr>
  </w:style>
  <w:style w:type="paragraph" w:styleId="CommentText">
    <w:name w:val="annotation text"/>
    <w:basedOn w:val="Normal"/>
    <w:link w:val="CommentTextChar"/>
    <w:uiPriority w:val="99"/>
    <w:semiHidden/>
    <w:unhideWhenUsed/>
    <w:rsid w:val="005E3CD0"/>
    <w:pPr>
      <w:spacing w:line="240" w:lineRule="auto"/>
    </w:pPr>
    <w:rPr>
      <w:sz w:val="20"/>
      <w:szCs w:val="20"/>
    </w:rPr>
  </w:style>
  <w:style w:type="character" w:customStyle="1" w:styleId="CommentTextChar">
    <w:name w:val="Comment Text Char"/>
    <w:basedOn w:val="DefaultParagraphFont"/>
    <w:link w:val="CommentText"/>
    <w:uiPriority w:val="99"/>
    <w:semiHidden/>
    <w:rsid w:val="005E3CD0"/>
    <w:rPr>
      <w:sz w:val="20"/>
      <w:szCs w:val="20"/>
    </w:rPr>
  </w:style>
  <w:style w:type="paragraph" w:styleId="CommentSubject">
    <w:name w:val="annotation subject"/>
    <w:basedOn w:val="CommentText"/>
    <w:next w:val="CommentText"/>
    <w:link w:val="CommentSubjectChar"/>
    <w:uiPriority w:val="99"/>
    <w:semiHidden/>
    <w:unhideWhenUsed/>
    <w:rsid w:val="005E3CD0"/>
    <w:rPr>
      <w:b/>
      <w:bCs/>
    </w:rPr>
  </w:style>
  <w:style w:type="character" w:customStyle="1" w:styleId="CommentSubjectChar">
    <w:name w:val="Comment Subject Char"/>
    <w:basedOn w:val="CommentTextChar"/>
    <w:link w:val="CommentSubject"/>
    <w:uiPriority w:val="99"/>
    <w:semiHidden/>
    <w:rsid w:val="005E3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36970-23F9-42C6-AF90-BEA640B6E169}">
  <ds:schemaRefs>
    <ds:schemaRef ds:uri="http://schemas.microsoft.com/sharepoint/v3/contenttype/forms"/>
  </ds:schemaRefs>
</ds:datastoreItem>
</file>

<file path=customXml/itemProps2.xml><?xml version="1.0" encoding="utf-8"?>
<ds:datastoreItem xmlns:ds="http://schemas.openxmlformats.org/officeDocument/2006/customXml" ds:itemID="{91D24BAA-3317-4DEE-8854-9BAA9519E9F0}">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3.xml><?xml version="1.0" encoding="utf-8"?>
<ds:datastoreItem xmlns:ds="http://schemas.openxmlformats.org/officeDocument/2006/customXml" ds:itemID="{9F4BFE32-1D86-4FD8-983B-4CC8B73C0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2545</Words>
  <Characters>14017</Characters>
  <Application>Microsoft Office Word</Application>
  <DocSecurity>0</DocSecurity>
  <Lines>1076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4</cp:revision>
  <dcterms:created xsi:type="dcterms:W3CDTF">2025-10-09T20:29:00Z</dcterms:created>
  <dcterms:modified xsi:type="dcterms:W3CDTF">2025-10-17T17:37:00Z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ies>
</file>