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60E3B" w14:textId="77777777" w:rsidR="004D6E47" w:rsidRDefault="004D6E47">
      <w:pPr>
        <w:jc w:val="right"/>
      </w:pPr>
    </w:p>
    <w:p w14:paraId="4E5EBB87" w14:textId="77777777" w:rsidR="00382543" w:rsidRDefault="00260612">
      <w:pPr>
        <w:pStyle w:val="Title"/>
      </w:pPr>
      <w:r w:rsidRPr="00260612">
        <w:t>LRE Autism Framework: Question-and-Answer Sheet</w:t>
      </w:r>
    </w:p>
    <w:p w14:paraId="727D93E4" w14:textId="77777777" w:rsidR="00260612" w:rsidRDefault="00260612">
      <w:pPr>
        <w:pStyle w:val="Heading1"/>
        <w:rPr>
          <w:rFonts w:asciiTheme="minorHAnsi" w:hAnsiTheme="minorHAnsi" w:cstheme="minorBidi"/>
        </w:rPr>
      </w:pPr>
      <w:r>
        <w:rPr>
          <w:rFonts w:asciiTheme="minorHAnsi" w:hAnsiTheme="minorHAnsi" w:cstheme="minorBidi"/>
        </w:rPr>
        <w:t>Assessment Hours and CPT 97151</w:t>
      </w:r>
    </w:p>
    <w:tbl>
      <w:tblPr>
        <w:tblStyle w:val="GridTable4-Accent1"/>
        <w:tblW w:w="5000" w:type="pct"/>
        <w:tblLook w:val="04A0" w:firstRow="1" w:lastRow="0" w:firstColumn="1" w:lastColumn="0" w:noHBand="0" w:noVBand="1"/>
      </w:tblPr>
      <w:tblGrid>
        <w:gridCol w:w="4403"/>
        <w:gridCol w:w="8547"/>
      </w:tblGrid>
      <w:tr w:rsidR="00E3102C" w14:paraId="009C747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pct"/>
            <w:shd w:val="clear" w:color="auto" w:fill="156082"/>
            <w:hideMark/>
          </w:tcPr>
          <w:p w14:paraId="05CAAC35" w14:textId="5B57698B" w:rsidR="00E3102C" w:rsidRPr="00AC4280" w:rsidRDefault="00684865" w:rsidP="00AC4280">
            <w:pPr>
              <w:rPr>
                <w:color w:val="FFFFFF"/>
              </w:rPr>
            </w:pPr>
            <w:r>
              <w:rPr>
                <w:color w:val="FFFFFF"/>
              </w:rPr>
              <w:t>1. Why were assessment hours reduced, and what standards informed the change?</w:t>
            </w:r>
          </w:p>
        </w:tc>
        <w:tc>
          <w:tcPr>
            <w:tcW w:w="3300" w:type="pct"/>
            <w:shd w:val="clear" w:color="auto" w:fill="D9EAF7"/>
            <w:hideMark/>
          </w:tcPr>
          <w:p w14:paraId="4B3D1005" w14:textId="77777777" w:rsidR="00E3102C" w:rsidRDefault="00E3102C">
            <w:pPr>
              <w:spacing w:after="160"/>
              <w:cnfStyle w:val="100000000000" w:firstRow="1" w:lastRow="0" w:firstColumn="0" w:lastColumn="0" w:oddVBand="0" w:evenVBand="0" w:oddHBand="0" w:evenHBand="0" w:firstRowFirstColumn="0" w:firstRowLastColumn="0" w:lastRowFirstColumn="0" w:lastRowLastColumn="0"/>
              <w:rPr>
                <w:color w:val="000000"/>
              </w:rPr>
            </w:pPr>
            <w:r w:rsidRPr="00E3102C">
              <w:rPr>
                <w:b w:val="0"/>
                <w:bCs w:val="0"/>
                <w:color w:val="000000"/>
              </w:rPr>
              <w:t>The framework authorizes up to six hours for an initial 97151 assessment and four hours for a re-evaluation. These limits are intended to align more closely with PIHP practices across the state while supporting focused planning, consistent UM review, and efficient benefit use. Providers may request additional hours when supported by documented clinical rationale.</w:t>
            </w:r>
          </w:p>
        </w:tc>
      </w:tr>
      <w:tr w:rsidR="00E3102C" w14:paraId="5C2BB49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156082"/>
            <w:hideMark/>
          </w:tcPr>
          <w:p w14:paraId="0D2C1115" w14:textId="6E9BCC95" w:rsidR="00E3102C" w:rsidRPr="007A6F98" w:rsidRDefault="00684865" w:rsidP="007A6F98">
            <w:pPr>
              <w:rPr>
                <w:color w:val="FFFFFF"/>
              </w:rPr>
            </w:pPr>
            <w:r>
              <w:rPr>
                <w:color w:val="FFFFFF"/>
              </w:rPr>
              <w:t>2. Can providers bill additional time when a more in-depth assessment is clinically necessary?</w:t>
            </w:r>
          </w:p>
        </w:tc>
        <w:tc>
          <w:tcPr>
            <w:tcW w:w="0" w:type="auto"/>
            <w:shd w:val="clear" w:color="auto" w:fill="D9EAF7"/>
            <w:hideMark/>
          </w:tcPr>
          <w:p w14:paraId="6E981A09" w14:textId="77777777" w:rsidR="00E3102C" w:rsidRDefault="00E3102C">
            <w:pPr>
              <w:spacing w:after="160"/>
              <w:cnfStyle w:val="000000100000" w:firstRow="0" w:lastRow="0" w:firstColumn="0" w:lastColumn="0" w:oddVBand="0" w:evenVBand="0" w:oddHBand="1" w:evenHBand="0" w:firstRowFirstColumn="0" w:firstRowLastColumn="0" w:lastRowFirstColumn="0" w:lastRowLastColumn="0"/>
              <w:rPr>
                <w:color w:val="000000"/>
              </w:rPr>
            </w:pPr>
            <w:r>
              <w:rPr>
                <w:color w:val="000000"/>
              </w:rPr>
              <w:t>Yes, additional 97151 hours may be requested. The request should be made prospectively whenever the need can be anticipated and must include a specific clinical rationale and supporting evidence. Examples include complex or high-intensity behaviors, a significant environmental change, the need for an additional assessment tool, new treatment-plan needs, Functional Analysis or FBA information, detailed caregiver interviews, school documentation, progress reports, and relevant treatment history. Additional hours are not automatic and require CMHSP UM review and approval.</w:t>
            </w:r>
          </w:p>
        </w:tc>
      </w:tr>
      <w:tr w:rsidR="00E3102C" w14:paraId="424B3BF7" w14:textId="77777777">
        <w:tc>
          <w:tcPr>
            <w:cnfStyle w:val="001000000000" w:firstRow="0" w:lastRow="0" w:firstColumn="1" w:lastColumn="0" w:oddVBand="0" w:evenVBand="0" w:oddHBand="0" w:evenHBand="0" w:firstRowFirstColumn="0" w:firstRowLastColumn="0" w:lastRowFirstColumn="0" w:lastRowLastColumn="0"/>
            <w:tcW w:w="0" w:type="auto"/>
            <w:shd w:val="clear" w:color="auto" w:fill="156082"/>
            <w:hideMark/>
          </w:tcPr>
          <w:p w14:paraId="13BB8A2E" w14:textId="395D2953" w:rsidR="00E3102C" w:rsidRPr="00455DF4" w:rsidRDefault="00684865" w:rsidP="00455DF4">
            <w:pPr>
              <w:rPr>
                <w:color w:val="FFFFFF"/>
              </w:rPr>
            </w:pPr>
            <w:r>
              <w:rPr>
                <w:color w:val="FFFFFF"/>
              </w:rPr>
              <w:t>3. Are BCBAs expected to complete report writing, record review, or family meetings without billing?</w:t>
            </w:r>
          </w:p>
        </w:tc>
        <w:tc>
          <w:tcPr>
            <w:tcW w:w="0" w:type="auto"/>
            <w:shd w:val="clear" w:color="auto" w:fill="D9EAF7"/>
            <w:hideMark/>
          </w:tcPr>
          <w:p w14:paraId="1CB0B638" w14:textId="77777777" w:rsidR="00E3102C" w:rsidRDefault="00E3102C">
            <w:pPr>
              <w:spacing w:after="160"/>
              <w:cnfStyle w:val="000000000000" w:firstRow="0" w:lastRow="0" w:firstColumn="0" w:lastColumn="0" w:oddVBand="0" w:evenVBand="0" w:oddHBand="0" w:evenHBand="0" w:firstRowFirstColumn="0" w:firstRowLastColumn="0" w:lastRowFirstColumn="0" w:lastRowLastColumn="0"/>
              <w:rPr>
                <w:color w:val="000000"/>
              </w:rPr>
            </w:pPr>
            <w:r>
              <w:rPr>
                <w:color w:val="000000"/>
              </w:rPr>
              <w:t>No. BCBAs are not expected to complete covered activities without billing. Providers should use 97155 and 97156, as appropriate, to plan assessment activities and determine whether additional assessment time is needed. Requests for extra hours can be supported by behavior data and a clear clinical rationale demonstrating why the requested assessment intensity is necessary.</w:t>
            </w:r>
          </w:p>
        </w:tc>
      </w:tr>
      <w:tr w:rsidR="00E3102C" w14:paraId="2639095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156082"/>
            <w:hideMark/>
          </w:tcPr>
          <w:p w14:paraId="5B48405B" w14:textId="511DCD74" w:rsidR="00E3102C" w:rsidRPr="00C81C7D" w:rsidRDefault="00684865" w:rsidP="00C81C7D">
            <w:pPr>
              <w:rPr>
                <w:color w:val="FFFFFF"/>
              </w:rPr>
            </w:pPr>
            <w:r>
              <w:rPr>
                <w:color w:val="FFFFFF"/>
              </w:rPr>
              <w:t>4. What is the format for requesting extra assessment hours, and is there an appeal process?</w:t>
            </w:r>
          </w:p>
        </w:tc>
        <w:tc>
          <w:tcPr>
            <w:tcW w:w="0" w:type="auto"/>
            <w:shd w:val="clear" w:color="auto" w:fill="D9EAF7"/>
            <w:hideMark/>
          </w:tcPr>
          <w:p w14:paraId="7DD9C3CA" w14:textId="77777777" w:rsidR="00E3102C" w:rsidRDefault="00E3102C">
            <w:pPr>
              <w:spacing w:after="160"/>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Submit the request through the CMHSP’s UM process before the additional work begins. Include the number of extra units needed, the remaining assessment activities, why the standard allocation is insufficient, supporting objective data, the expected clinical outcome, and the appropriate clinical rationale described </w:t>
            </w:r>
            <w:r>
              <w:rPr>
                <w:color w:val="000000"/>
              </w:rPr>
              <w:lastRenderedPageBreak/>
              <w:t>above. Most CMHSPs review these requests promptly, and advance planning helps ensure assessment time is used appropriately.</w:t>
            </w:r>
          </w:p>
        </w:tc>
      </w:tr>
    </w:tbl>
    <w:p w14:paraId="6437C123" w14:textId="77777777" w:rsidR="00E3102C" w:rsidRDefault="00E3102C"/>
    <w:p w14:paraId="220E6F80" w14:textId="77777777" w:rsidR="00260612" w:rsidRDefault="00260612">
      <w:pPr>
        <w:pStyle w:val="Heading1"/>
        <w:rPr>
          <w:rFonts w:asciiTheme="minorHAnsi" w:hAnsiTheme="minorHAnsi" w:cstheme="minorBidi"/>
        </w:rPr>
      </w:pPr>
      <w:r>
        <w:rPr>
          <w:rFonts w:asciiTheme="minorHAnsi" w:hAnsiTheme="minorHAnsi" w:cstheme="minorBidi"/>
        </w:rPr>
        <w:t>Progress, Quality, and Clinical Review</w:t>
      </w:r>
    </w:p>
    <w:tbl>
      <w:tblPr>
        <w:tblStyle w:val="GridTable4-Accent1"/>
        <w:tblW w:w="5000" w:type="pct"/>
        <w:tblLook w:val="04A0" w:firstRow="1" w:lastRow="0" w:firstColumn="1" w:lastColumn="0" w:noHBand="0" w:noVBand="1"/>
      </w:tblPr>
      <w:tblGrid>
        <w:gridCol w:w="4403"/>
        <w:gridCol w:w="8547"/>
      </w:tblGrid>
      <w:tr w:rsidR="00E3102C" w14:paraId="1DB1AA5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pct"/>
            <w:shd w:val="clear" w:color="auto" w:fill="156082"/>
            <w:hideMark/>
          </w:tcPr>
          <w:p w14:paraId="7C1B2734" w14:textId="115FF0F7" w:rsidR="00E3102C" w:rsidRPr="001B7743" w:rsidRDefault="00684865" w:rsidP="001B7743">
            <w:pPr>
              <w:rPr>
                <w:color w:val="FFFFFF"/>
              </w:rPr>
            </w:pPr>
            <w:r>
              <w:rPr>
                <w:color w:val="FFFFFF"/>
              </w:rPr>
              <w:t>5. What progress or quality concerns may trigger an audit or review?</w:t>
            </w:r>
          </w:p>
        </w:tc>
        <w:tc>
          <w:tcPr>
            <w:tcW w:w="3300" w:type="pct"/>
            <w:shd w:val="clear" w:color="auto" w:fill="D9EAF7"/>
            <w:hideMark/>
          </w:tcPr>
          <w:p w14:paraId="38BBF4F8" w14:textId="77777777" w:rsidR="00E3102C" w:rsidRPr="00E3102C" w:rsidRDefault="00E3102C">
            <w:pPr>
              <w:spacing w:after="160"/>
              <w:cnfStyle w:val="100000000000" w:firstRow="1" w:lastRow="0" w:firstColumn="0" w:lastColumn="0" w:oddVBand="0" w:evenVBand="0" w:oddHBand="0" w:evenHBand="0" w:firstRowFirstColumn="0" w:firstRowLastColumn="0" w:lastRowFirstColumn="0" w:lastRowLastColumn="0"/>
              <w:rPr>
                <w:b w:val="0"/>
                <w:bCs w:val="0"/>
                <w:color w:val="000000"/>
              </w:rPr>
            </w:pPr>
            <w:r w:rsidRPr="00E3102C">
              <w:rPr>
                <w:b w:val="0"/>
                <w:bCs w:val="0"/>
                <w:color w:val="000000"/>
              </w:rPr>
              <w:t>Review indicators include 30% or less goal mastery, no improvement or worsening of maladaptive behavior, unchanged standardized skill-assessment scores, family dissatisfaction with progress, low utilization attributable to member/family barriers, repeated changes to discharge or transition criteria without clinical justification, prolonged high-intensity services, incomplete or noncompliant documentation, and supervision above 10% without prior support and approval. A trigger starts a review; it does not automatically require a reduction, discharge, corrective action, or recoupment.</w:t>
            </w:r>
          </w:p>
        </w:tc>
      </w:tr>
      <w:tr w:rsidR="00E3102C" w14:paraId="3D5F41C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156082"/>
            <w:hideMark/>
          </w:tcPr>
          <w:p w14:paraId="43E0495C" w14:textId="38B4B235" w:rsidR="00E3102C" w:rsidRPr="00242632" w:rsidRDefault="00684865" w:rsidP="00242632">
            <w:pPr>
              <w:rPr>
                <w:color w:val="FFFFFF"/>
              </w:rPr>
            </w:pPr>
            <w:r>
              <w:rPr>
                <w:color w:val="FFFFFF"/>
              </w:rPr>
              <w:t>6. How is “measurably significant progress” defined?</w:t>
            </w:r>
          </w:p>
        </w:tc>
        <w:tc>
          <w:tcPr>
            <w:tcW w:w="0" w:type="auto"/>
            <w:shd w:val="clear" w:color="auto" w:fill="D9EAF7"/>
            <w:hideMark/>
          </w:tcPr>
          <w:p w14:paraId="0E6B1708" w14:textId="77777777" w:rsidR="00E3102C" w:rsidRDefault="00E3102C">
            <w:pPr>
              <w:spacing w:after="160"/>
              <w:cnfStyle w:val="000000100000" w:firstRow="0" w:lastRow="0" w:firstColumn="0" w:lastColumn="0" w:oddVBand="0" w:evenVBand="0" w:oddHBand="1" w:evenHBand="0" w:firstRowFirstColumn="0" w:firstRowLastColumn="0" w:lastRowFirstColumn="0" w:lastRowLastColumn="0"/>
              <w:rPr>
                <w:color w:val="000000"/>
              </w:rPr>
            </w:pPr>
            <w:r>
              <w:rPr>
                <w:color w:val="000000"/>
              </w:rPr>
              <w:t>Progress is evaluated using the full clinical picture, including mastery of treatment goals, reduction in the frequency, severity, duration, or risk associated with maladaptive behavior, standardized skill or adaptive-functioning results, functional gains, and movement toward the individualized transition and discharge plan. UM and the BCBA review the evidence together. Progress does not automatically result in fewer hours; any change must be clinically appropriate, documented, and coordinated.</w:t>
            </w:r>
          </w:p>
        </w:tc>
      </w:tr>
      <w:tr w:rsidR="00E3102C" w14:paraId="0061A388" w14:textId="77777777">
        <w:tc>
          <w:tcPr>
            <w:cnfStyle w:val="001000000000" w:firstRow="0" w:lastRow="0" w:firstColumn="1" w:lastColumn="0" w:oddVBand="0" w:evenVBand="0" w:oddHBand="0" w:evenHBand="0" w:firstRowFirstColumn="0" w:firstRowLastColumn="0" w:lastRowFirstColumn="0" w:lastRowLastColumn="0"/>
            <w:tcW w:w="0" w:type="auto"/>
            <w:shd w:val="clear" w:color="auto" w:fill="156082"/>
            <w:hideMark/>
          </w:tcPr>
          <w:p w14:paraId="0A6A7DA1" w14:textId="71047896" w:rsidR="00E3102C" w:rsidRPr="001C3DBA" w:rsidRDefault="00684865" w:rsidP="001C3DBA">
            <w:pPr>
              <w:rPr>
                <w:color w:val="FFFFFF"/>
              </w:rPr>
            </w:pPr>
            <w:r>
              <w:rPr>
                <w:color w:val="FFFFFF"/>
              </w:rPr>
              <w:t>7. What happens when 30% or fewer goals are mastered?</w:t>
            </w:r>
          </w:p>
        </w:tc>
        <w:tc>
          <w:tcPr>
            <w:tcW w:w="0" w:type="auto"/>
            <w:shd w:val="clear" w:color="auto" w:fill="D9EAF7"/>
            <w:hideMark/>
          </w:tcPr>
          <w:p w14:paraId="32624E46" w14:textId="77777777" w:rsidR="00E3102C" w:rsidRDefault="00E3102C">
            <w:pPr>
              <w:spacing w:after="160"/>
              <w:cnfStyle w:val="000000000000" w:firstRow="0" w:lastRow="0" w:firstColumn="0" w:lastColumn="0" w:oddVBand="0" w:evenVBand="0" w:oddHBand="0" w:evenHBand="0" w:firstRowFirstColumn="0" w:firstRowLastColumn="0" w:lastRowFirstColumn="0" w:lastRowLastColumn="0"/>
              <w:rPr>
                <w:color w:val="000000"/>
              </w:rPr>
            </w:pPr>
            <w:r>
              <w:rPr>
                <w:color w:val="000000"/>
              </w:rPr>
              <w:t>The threshold prompts a case review to determine whether ABA remains appropriate and whether barriers, treatment design, service delivery, goals, staffing, environment, or another factor explains the result. CMHSP UM conducts or coordinates the review, with BCBA participation and input from the provider, case holder, member/family, and other relevant supports. Possible outcomes include continuation, treatment modification, barrier-removal strategies, another provider or service, a change in intensity, or transition planning.</w:t>
            </w:r>
          </w:p>
        </w:tc>
      </w:tr>
      <w:tr w:rsidR="00E3102C" w14:paraId="0691D9F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156082"/>
            <w:hideMark/>
          </w:tcPr>
          <w:p w14:paraId="3CCB528D" w14:textId="4C0EA6CC" w:rsidR="00E3102C" w:rsidRPr="008A546E" w:rsidRDefault="00684865" w:rsidP="008A546E">
            <w:pPr>
              <w:rPr>
                <w:color w:val="FFFFFF"/>
              </w:rPr>
            </w:pPr>
            <w:r>
              <w:rPr>
                <w:color w:val="FFFFFF"/>
              </w:rPr>
              <w:lastRenderedPageBreak/>
              <w:t xml:space="preserve">8. What does “worsening of maladaptive behaviors” mean, and what </w:t>
            </w:r>
            <w:proofErr w:type="gramStart"/>
            <w:r>
              <w:rPr>
                <w:color w:val="FFFFFF"/>
              </w:rPr>
              <w:t>time period</w:t>
            </w:r>
            <w:proofErr w:type="gramEnd"/>
            <w:r>
              <w:rPr>
                <w:color w:val="FFFFFF"/>
              </w:rPr>
              <w:t xml:space="preserve"> is reviewed?</w:t>
            </w:r>
          </w:p>
        </w:tc>
        <w:tc>
          <w:tcPr>
            <w:tcW w:w="0" w:type="auto"/>
            <w:shd w:val="clear" w:color="auto" w:fill="D9EAF7"/>
            <w:hideMark/>
          </w:tcPr>
          <w:p w14:paraId="5F2AC343" w14:textId="49EB1CE4" w:rsidR="00E3102C" w:rsidRDefault="00E3102C">
            <w:pPr>
              <w:spacing w:after="160"/>
              <w:cnfStyle w:val="000000100000" w:firstRow="0" w:lastRow="0" w:firstColumn="0" w:lastColumn="0" w:oddVBand="0" w:evenVBand="0" w:oddHBand="1" w:evenHBand="0" w:firstRowFirstColumn="0" w:firstRowLastColumn="0" w:lastRowFirstColumn="0" w:lastRowLastColumn="0"/>
              <w:rPr>
                <w:color w:val="000000"/>
              </w:rPr>
            </w:pPr>
            <w:r>
              <w:rPr>
                <w:color w:val="000000"/>
              </w:rPr>
              <w:t>It should be demonstrated through objective data showing a clinically meaningful negative trend in frequency, intensity, duration, severity, risk, or functional impact</w:t>
            </w:r>
            <w:r w:rsidR="00AB0EA6">
              <w:rPr>
                <w:color w:val="000000"/>
              </w:rPr>
              <w:t xml:space="preserve"> </w:t>
            </w:r>
            <w:r w:rsidR="00C3554E">
              <w:rPr>
                <w:color w:val="000000"/>
              </w:rPr>
              <w:t xml:space="preserve">and </w:t>
            </w:r>
            <w:r>
              <w:rPr>
                <w:color w:val="000000"/>
              </w:rPr>
              <w:t>not a single isolated event. Reviewers should consider the whole authorization or treatment period and account for documented contextual variables such as school changes, family transitions, illness, or service gaps.</w:t>
            </w:r>
          </w:p>
        </w:tc>
      </w:tr>
      <w:tr w:rsidR="00E3102C" w14:paraId="0BB096D7" w14:textId="77777777">
        <w:tc>
          <w:tcPr>
            <w:cnfStyle w:val="001000000000" w:firstRow="0" w:lastRow="0" w:firstColumn="1" w:lastColumn="0" w:oddVBand="0" w:evenVBand="0" w:oddHBand="0" w:evenHBand="0" w:firstRowFirstColumn="0" w:firstRowLastColumn="0" w:lastRowFirstColumn="0" w:lastRowLastColumn="0"/>
            <w:tcW w:w="0" w:type="auto"/>
            <w:shd w:val="clear" w:color="auto" w:fill="156082"/>
            <w:hideMark/>
          </w:tcPr>
          <w:p w14:paraId="2464103B" w14:textId="3EAEC598" w:rsidR="00E3102C" w:rsidRPr="00AC475F" w:rsidRDefault="00684865" w:rsidP="00AC475F">
            <w:pPr>
              <w:rPr>
                <w:color w:val="FFFFFF"/>
              </w:rPr>
            </w:pPr>
            <w:r>
              <w:rPr>
                <w:color w:val="FFFFFF"/>
              </w:rPr>
              <w:t>9. Does the framework penalize both progress and lack of progress?</w:t>
            </w:r>
          </w:p>
        </w:tc>
        <w:tc>
          <w:tcPr>
            <w:tcW w:w="0" w:type="auto"/>
            <w:shd w:val="clear" w:color="auto" w:fill="D9EAF7"/>
            <w:hideMark/>
          </w:tcPr>
          <w:p w14:paraId="2DCF7B0E" w14:textId="77777777" w:rsidR="00E3102C" w:rsidRDefault="00E3102C">
            <w:pPr>
              <w:spacing w:after="160"/>
              <w:cnfStyle w:val="000000000000" w:firstRow="0" w:lastRow="0" w:firstColumn="0" w:lastColumn="0" w:oddVBand="0" w:evenVBand="0" w:oddHBand="0" w:evenHBand="0" w:firstRowFirstColumn="0" w:firstRowLastColumn="0" w:lastRowFirstColumn="0" w:lastRowLastColumn="0"/>
              <w:rPr>
                <w:color w:val="000000"/>
              </w:rPr>
            </w:pPr>
            <w:r>
              <w:rPr>
                <w:color w:val="000000"/>
              </w:rPr>
              <w:t>No. The purpose is to ensure that service intensity remains aligned with current need. Strong progress may support continuation at the current level, a planned step-down, or transition depending on remaining clinical need. Limited progress prompts review of barriers and treatment appropriateness. Decisions should not be based on one metric; they use objective data, individualized goals, treatment integrity, risk, family circumstances, and the transition plan.</w:t>
            </w:r>
          </w:p>
        </w:tc>
      </w:tr>
    </w:tbl>
    <w:p w14:paraId="66E715B5" w14:textId="77777777" w:rsidR="00E3102C" w:rsidRDefault="00E3102C"/>
    <w:p w14:paraId="1A44F047" w14:textId="77777777" w:rsidR="00260612" w:rsidRDefault="00260612">
      <w:pPr>
        <w:pStyle w:val="Heading1"/>
        <w:rPr>
          <w:rFonts w:asciiTheme="minorHAnsi" w:hAnsiTheme="minorHAnsi" w:cstheme="minorBidi"/>
        </w:rPr>
      </w:pPr>
      <w:r>
        <w:rPr>
          <w:rFonts w:asciiTheme="minorHAnsi" w:hAnsiTheme="minorHAnsi" w:cstheme="minorBidi"/>
        </w:rPr>
        <w:t>Utilization and CPT 97155 Supervision</w:t>
      </w:r>
    </w:p>
    <w:tbl>
      <w:tblPr>
        <w:tblStyle w:val="GridTable4-Accent1"/>
        <w:tblW w:w="5000" w:type="pct"/>
        <w:tblLook w:val="04A0" w:firstRow="1" w:lastRow="0" w:firstColumn="1" w:lastColumn="0" w:noHBand="0" w:noVBand="1"/>
      </w:tblPr>
      <w:tblGrid>
        <w:gridCol w:w="4403"/>
        <w:gridCol w:w="8547"/>
      </w:tblGrid>
      <w:tr w:rsidR="00E3102C" w14:paraId="5B5BA2C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pct"/>
            <w:shd w:val="clear" w:color="auto" w:fill="156082"/>
            <w:hideMark/>
          </w:tcPr>
          <w:p w14:paraId="09D2A083" w14:textId="78AF3019" w:rsidR="00E3102C" w:rsidRPr="009C5535" w:rsidRDefault="00684865" w:rsidP="009C5535">
            <w:pPr>
              <w:rPr>
                <w:color w:val="FFFFFF"/>
              </w:rPr>
            </w:pPr>
            <w:r>
              <w:rPr>
                <w:color w:val="FFFFFF"/>
              </w:rPr>
              <w:t>10. How is the 10% supervision expectation calculated and monitored?</w:t>
            </w:r>
          </w:p>
        </w:tc>
        <w:tc>
          <w:tcPr>
            <w:tcW w:w="3300" w:type="pct"/>
            <w:shd w:val="clear" w:color="auto" w:fill="D9EAF7"/>
            <w:hideMark/>
          </w:tcPr>
          <w:p w14:paraId="70648553" w14:textId="77777777" w:rsidR="00E3102C" w:rsidRPr="00E3102C" w:rsidRDefault="00E3102C">
            <w:pPr>
              <w:spacing w:after="160"/>
              <w:cnfStyle w:val="100000000000" w:firstRow="1" w:lastRow="0" w:firstColumn="0" w:lastColumn="0" w:oddVBand="0" w:evenVBand="0" w:oddHBand="0" w:evenHBand="0" w:firstRowFirstColumn="0" w:firstRowLastColumn="0" w:lastRowFirstColumn="0" w:lastRowLastColumn="0"/>
              <w:rPr>
                <w:b w:val="0"/>
                <w:bCs w:val="0"/>
                <w:color w:val="000000"/>
              </w:rPr>
            </w:pPr>
            <w:r w:rsidRPr="00E3102C">
              <w:rPr>
                <w:b w:val="0"/>
                <w:bCs w:val="0"/>
                <w:color w:val="000000"/>
              </w:rPr>
              <w:t>CPT 97155 is calculated using the 97153 hours delivered during the authorization period, rather than the hours authorized or scheduled. For example, 15 delivered hours of 97153 support approximately 1.5 hours of 97155 at the 10% level. Providers should monitor utilization throughout the authorization period and adjust for cancellations. Supervision above 10% requires documented clinical rationale and prior UM approval. Although a 5% variance has been discussed as a possible guideline, it is not a formal standard. CMHSPs are developing an efficient tracking process.</w:t>
            </w:r>
          </w:p>
        </w:tc>
      </w:tr>
      <w:tr w:rsidR="00331752" w14:paraId="37819ACF" w14:textId="77777777" w:rsidTr="00331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left w:val="single" w:sz="8" w:space="0" w:color="45B0E1"/>
              <w:bottom w:val="single" w:sz="8" w:space="0" w:color="45B0E1"/>
              <w:right w:val="single" w:sz="8" w:space="0" w:color="45B0E1"/>
            </w:tcBorders>
            <w:shd w:val="clear" w:color="auto" w:fill="156082"/>
            <w:hideMark/>
          </w:tcPr>
          <w:p w14:paraId="13A20897" w14:textId="31F948D7" w:rsidR="00331752" w:rsidRPr="00490A2A" w:rsidRDefault="00684865" w:rsidP="00490A2A">
            <w:pPr>
              <w:rPr>
                <w:color w:val="FFFFFF"/>
              </w:rPr>
            </w:pPr>
            <w:r>
              <w:rPr>
                <w:color w:val="FFFFFF"/>
              </w:rPr>
              <w:t>11. Are there additional requirements for CPT 97155 beyond the 10% expectation established at the start of the treatment plan and face-to-face delivery?</w:t>
            </w:r>
          </w:p>
        </w:tc>
        <w:tc>
          <w:tcPr>
            <w:tcW w:w="0" w:type="auto"/>
            <w:tcBorders>
              <w:top w:val="nil"/>
              <w:left w:val="nil"/>
              <w:bottom w:val="single" w:sz="8" w:space="0" w:color="45B0E1"/>
              <w:right w:val="single" w:sz="8" w:space="0" w:color="45B0E1"/>
            </w:tcBorders>
            <w:shd w:val="clear" w:color="auto" w:fill="D9EAF7"/>
            <w:hideMark/>
          </w:tcPr>
          <w:p w14:paraId="4A303C2E" w14:textId="77777777" w:rsidR="00331752" w:rsidRDefault="00331752">
            <w:pPr>
              <w:cnfStyle w:val="000000100000" w:firstRow="0" w:lastRow="0" w:firstColumn="0" w:lastColumn="0" w:oddVBand="0" w:evenVBand="0" w:oddHBand="1" w:evenHBand="0" w:firstRowFirstColumn="0" w:firstRowLastColumn="0" w:lastRowFirstColumn="0" w:lastRowLastColumn="0"/>
            </w:pPr>
            <w:r>
              <w:rPr>
                <w:color w:val="000000"/>
              </w:rPr>
              <w:t xml:space="preserve">Not </w:t>
            </w:r>
            <w:proofErr w:type="gramStart"/>
            <w:r>
              <w:rPr>
                <w:color w:val="000000"/>
              </w:rPr>
              <w:t>at this time</w:t>
            </w:r>
            <w:proofErr w:type="gramEnd"/>
            <w:r>
              <w:rPr>
                <w:color w:val="000000"/>
              </w:rPr>
              <w:t>.</w:t>
            </w:r>
          </w:p>
        </w:tc>
      </w:tr>
      <w:tr w:rsidR="00331752" w14:paraId="4F92EE8E" w14:textId="77777777" w:rsidTr="00331752">
        <w:tc>
          <w:tcPr>
            <w:cnfStyle w:val="001000000000" w:firstRow="0" w:lastRow="0" w:firstColumn="1" w:lastColumn="0" w:oddVBand="0" w:evenVBand="0" w:oddHBand="0" w:evenHBand="0" w:firstRowFirstColumn="0" w:firstRowLastColumn="0" w:lastRowFirstColumn="0" w:lastRowLastColumn="0"/>
            <w:tcW w:w="0" w:type="auto"/>
            <w:tcBorders>
              <w:top w:val="nil"/>
              <w:left w:val="single" w:sz="8" w:space="0" w:color="45B0E1"/>
              <w:bottom w:val="single" w:sz="8" w:space="0" w:color="45B0E1"/>
              <w:right w:val="single" w:sz="8" w:space="0" w:color="45B0E1"/>
            </w:tcBorders>
            <w:shd w:val="clear" w:color="auto" w:fill="156082"/>
            <w:hideMark/>
          </w:tcPr>
          <w:p w14:paraId="31C19525" w14:textId="2A8DD107" w:rsidR="00331752" w:rsidRPr="00153F4B" w:rsidRDefault="00684865" w:rsidP="00153F4B">
            <w:pPr>
              <w:rPr>
                <w:color w:val="FFFFFF"/>
              </w:rPr>
            </w:pPr>
            <w:r>
              <w:rPr>
                <w:color w:val="FFFFFF"/>
              </w:rPr>
              <w:lastRenderedPageBreak/>
              <w:t xml:space="preserve">12. Is there an acceptable variance when the percentage of 97155 cannot be aligned precisely with the 97153 units </w:t>
            </w:r>
            <w:proofErr w:type="gramStart"/>
            <w:r>
              <w:rPr>
                <w:color w:val="FFFFFF"/>
              </w:rPr>
              <w:t>actually utilized</w:t>
            </w:r>
            <w:proofErr w:type="gramEnd"/>
            <w:r>
              <w:rPr>
                <w:color w:val="FFFFFF"/>
              </w:rPr>
              <w:t>?</w:t>
            </w:r>
          </w:p>
        </w:tc>
        <w:tc>
          <w:tcPr>
            <w:tcW w:w="0" w:type="auto"/>
            <w:tcBorders>
              <w:top w:val="nil"/>
              <w:left w:val="nil"/>
              <w:bottom w:val="single" w:sz="8" w:space="0" w:color="45B0E1"/>
              <w:right w:val="single" w:sz="8" w:space="0" w:color="45B0E1"/>
            </w:tcBorders>
            <w:shd w:val="clear" w:color="auto" w:fill="D9EAF7"/>
            <w:hideMark/>
          </w:tcPr>
          <w:p w14:paraId="6A837100" w14:textId="77777777" w:rsidR="00331752" w:rsidRDefault="00331752">
            <w:pPr>
              <w:cnfStyle w:val="000000000000" w:firstRow="0" w:lastRow="0" w:firstColumn="0" w:lastColumn="0" w:oddVBand="0" w:evenVBand="0" w:oddHBand="0" w:evenHBand="0" w:firstRowFirstColumn="0" w:firstRowLastColumn="0" w:lastRowFirstColumn="0" w:lastRowLastColumn="0"/>
            </w:pPr>
            <w:r>
              <w:rPr>
                <w:color w:val="000000"/>
              </w:rPr>
              <w:t xml:space="preserve">There is no established variance. Providers should remain as close as possible to 10% of the 97153 hours </w:t>
            </w:r>
            <w:proofErr w:type="gramStart"/>
            <w:r>
              <w:rPr>
                <w:color w:val="000000"/>
              </w:rPr>
              <w:t>actually utilized</w:t>
            </w:r>
            <w:proofErr w:type="gramEnd"/>
            <w:r>
              <w:rPr>
                <w:color w:val="000000"/>
              </w:rPr>
              <w:t>. A 5% variance may be a reasonable starting point and can be discussed further at the Autism ROAT.</w:t>
            </w:r>
          </w:p>
        </w:tc>
      </w:tr>
      <w:tr w:rsidR="00331752" w14:paraId="525ADEFC" w14:textId="77777777" w:rsidTr="00331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left w:val="single" w:sz="8" w:space="0" w:color="45B0E1"/>
              <w:bottom w:val="single" w:sz="8" w:space="0" w:color="45B0E1"/>
              <w:right w:val="single" w:sz="8" w:space="0" w:color="45B0E1"/>
            </w:tcBorders>
            <w:shd w:val="clear" w:color="auto" w:fill="156082"/>
            <w:hideMark/>
          </w:tcPr>
          <w:p w14:paraId="214D0164" w14:textId="2F27E025" w:rsidR="00331752" w:rsidRPr="0004085B" w:rsidRDefault="00684865" w:rsidP="0004085B">
            <w:pPr>
              <w:rPr>
                <w:color w:val="FFFFFF"/>
              </w:rPr>
            </w:pPr>
            <w:r>
              <w:rPr>
                <w:color w:val="FFFFFF"/>
              </w:rPr>
              <w:t>13. Will Network180 pursue claim takebacks when 97155 exceeds the 10% level and the additional units were not approved by Network180 UM?</w:t>
            </w:r>
          </w:p>
        </w:tc>
        <w:tc>
          <w:tcPr>
            <w:tcW w:w="0" w:type="auto"/>
            <w:tcBorders>
              <w:top w:val="nil"/>
              <w:left w:val="nil"/>
              <w:bottom w:val="single" w:sz="8" w:space="0" w:color="45B0E1"/>
              <w:right w:val="single" w:sz="8" w:space="0" w:color="45B0E1"/>
            </w:tcBorders>
            <w:shd w:val="clear" w:color="auto" w:fill="D9EAF7"/>
            <w:hideMark/>
          </w:tcPr>
          <w:p w14:paraId="223B272E" w14:textId="77777777" w:rsidR="00331752" w:rsidRDefault="00331752">
            <w:pPr>
              <w:cnfStyle w:val="000000100000" w:firstRow="0" w:lastRow="0" w:firstColumn="0" w:lastColumn="0" w:oddVBand="0" w:evenVBand="0" w:oddHBand="1" w:evenHBand="0" w:firstRowFirstColumn="0" w:firstRowLastColumn="0" w:lastRowFirstColumn="0" w:lastRowLastColumn="0"/>
            </w:pPr>
            <w:r>
              <w:rPr>
                <w:color w:val="000000"/>
              </w:rPr>
              <w:t>This will be determined case by case based on the clinical rationale and Network180 policies regarding overutilization.</w:t>
            </w:r>
          </w:p>
        </w:tc>
      </w:tr>
      <w:tr w:rsidR="00E3102C" w14:paraId="1CAEB18B" w14:textId="77777777">
        <w:tc>
          <w:tcPr>
            <w:cnfStyle w:val="001000000000" w:firstRow="0" w:lastRow="0" w:firstColumn="1" w:lastColumn="0" w:oddVBand="0" w:evenVBand="0" w:oddHBand="0" w:evenHBand="0" w:firstRowFirstColumn="0" w:firstRowLastColumn="0" w:lastRowFirstColumn="0" w:lastRowLastColumn="0"/>
            <w:tcW w:w="0" w:type="auto"/>
            <w:shd w:val="clear" w:color="auto" w:fill="156082"/>
            <w:hideMark/>
          </w:tcPr>
          <w:p w14:paraId="6580C691" w14:textId="530854F7" w:rsidR="00E3102C" w:rsidRPr="00CC44A0" w:rsidRDefault="00684865" w:rsidP="00CC44A0">
            <w:pPr>
              <w:rPr>
                <w:color w:val="FFFFFF"/>
              </w:rPr>
            </w:pPr>
            <w:r w:rsidRPr="009A3299">
              <w:rPr>
                <w:color w:val="FFFFFF" w:themeColor="background1"/>
              </w:rPr>
              <w:t>14</w:t>
            </w:r>
            <w:r w:rsidRPr="009A3299">
              <w:rPr>
                <w:color w:val="FFFFFF" w:themeColor="background1"/>
              </w:rPr>
              <w:t>. What CPT codes are included in the 80% low-utilization rule?</w:t>
            </w:r>
          </w:p>
        </w:tc>
        <w:tc>
          <w:tcPr>
            <w:tcW w:w="0" w:type="auto"/>
            <w:shd w:val="clear" w:color="auto" w:fill="D9EAF7"/>
            <w:hideMark/>
          </w:tcPr>
          <w:p w14:paraId="184EA8CE" w14:textId="77777777" w:rsidR="00E3102C" w:rsidRDefault="00E3102C">
            <w:pPr>
              <w:spacing w:after="160"/>
              <w:cnfStyle w:val="000000000000" w:firstRow="0" w:lastRow="0" w:firstColumn="0" w:lastColumn="0" w:oddVBand="0" w:evenVBand="0" w:oddHBand="0" w:evenHBand="0" w:firstRowFirstColumn="0" w:firstRowLastColumn="0" w:lastRowFirstColumn="0" w:lastRowLastColumn="0"/>
              <w:rPr>
                <w:color w:val="000000"/>
              </w:rPr>
            </w:pPr>
            <w:r>
              <w:rPr>
                <w:color w:val="000000"/>
              </w:rPr>
              <w:t>The framework defines low utilization as inconsistent use of authorized 97153 ABA services, with the calculation based on direct-treatment hours delivered. Other CPT codes are not included.</w:t>
            </w:r>
          </w:p>
        </w:tc>
      </w:tr>
      <w:tr w:rsidR="00E3102C" w14:paraId="3C7DDE1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156082"/>
            <w:hideMark/>
          </w:tcPr>
          <w:p w14:paraId="74DDD8A4" w14:textId="6A62EB84" w:rsidR="00E3102C" w:rsidRPr="001C6580" w:rsidRDefault="00684865" w:rsidP="001C6580">
            <w:pPr>
              <w:rPr>
                <w:color w:val="FFFFFF"/>
              </w:rPr>
            </w:pPr>
            <w:r w:rsidRPr="009A3299">
              <w:rPr>
                <w:color w:val="FFFFFF" w:themeColor="background1"/>
              </w:rPr>
              <w:t>15</w:t>
            </w:r>
            <w:r w:rsidRPr="009A3299">
              <w:rPr>
                <w:color w:val="FFFFFF" w:themeColor="background1"/>
              </w:rPr>
              <w:t>. What does 50% goal mastery mean at the six-month follow-up?</w:t>
            </w:r>
          </w:p>
        </w:tc>
        <w:tc>
          <w:tcPr>
            <w:tcW w:w="0" w:type="auto"/>
            <w:shd w:val="clear" w:color="auto" w:fill="D9EAF7"/>
            <w:hideMark/>
          </w:tcPr>
          <w:p w14:paraId="7DCCFFCA" w14:textId="77777777" w:rsidR="00E3102C" w:rsidRDefault="00E3102C">
            <w:pPr>
              <w:spacing w:after="160"/>
              <w:cnfStyle w:val="000000100000" w:firstRow="0" w:lastRow="0" w:firstColumn="0" w:lastColumn="0" w:oddVBand="0" w:evenVBand="0" w:oddHBand="1" w:evenHBand="0" w:firstRowFirstColumn="0" w:firstRowLastColumn="0" w:lastRowFirstColumn="0" w:lastRowLastColumn="0"/>
              <w:rPr>
                <w:color w:val="000000"/>
              </w:rPr>
            </w:pPr>
            <w:r>
              <w:rPr>
                <w:color w:val="000000"/>
              </w:rPr>
              <w:t>Goal mastery is one factor considered during an in-depth review when utilization remains below 80%. The CMH review team evaluates the treatment plan and other clinically appropriate documentation, including behavior trends, assessment results, current needs, barriers, and the appropriateness of the authorized intensity. The 50% threshold does not automatically change the authorization; however, the review team may recommend less intensive services if the documentation shows the client is progressing and ready to transition.</w:t>
            </w:r>
          </w:p>
        </w:tc>
      </w:tr>
    </w:tbl>
    <w:p w14:paraId="382083D7" w14:textId="77777777" w:rsidR="00E3102C" w:rsidRDefault="00E3102C"/>
    <w:p w14:paraId="38340702" w14:textId="77777777" w:rsidR="00260612" w:rsidRDefault="00260612">
      <w:pPr>
        <w:pStyle w:val="Heading1"/>
        <w:rPr>
          <w:rFonts w:asciiTheme="minorHAnsi" w:hAnsiTheme="minorHAnsi" w:cstheme="minorBidi"/>
        </w:rPr>
      </w:pPr>
      <w:r>
        <w:rPr>
          <w:rFonts w:asciiTheme="minorHAnsi" w:hAnsiTheme="minorHAnsi" w:cstheme="minorBidi"/>
        </w:rPr>
        <w:t>High-Intensity Services and Two-Year Review</w:t>
      </w:r>
    </w:p>
    <w:tbl>
      <w:tblPr>
        <w:tblStyle w:val="GridTable4-Accent1"/>
        <w:tblW w:w="5000" w:type="pct"/>
        <w:tblLook w:val="04A0" w:firstRow="1" w:lastRow="0" w:firstColumn="1" w:lastColumn="0" w:noHBand="0" w:noVBand="1"/>
      </w:tblPr>
      <w:tblGrid>
        <w:gridCol w:w="4403"/>
        <w:gridCol w:w="8547"/>
      </w:tblGrid>
      <w:tr w:rsidR="00E3102C" w14:paraId="1CCCADC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pct"/>
            <w:shd w:val="clear" w:color="auto" w:fill="156082"/>
            <w:hideMark/>
          </w:tcPr>
          <w:p w14:paraId="13FF9015" w14:textId="72B0B222" w:rsidR="00E3102C" w:rsidRPr="006F70D9" w:rsidRDefault="00684865" w:rsidP="006F70D9">
            <w:pPr>
              <w:rPr>
                <w:color w:val="FFFFFF"/>
              </w:rPr>
            </w:pPr>
            <w:r w:rsidRPr="006F70D9">
              <w:rPr>
                <w:color w:val="FFFFFF"/>
              </w:rPr>
              <w:t>16</w:t>
            </w:r>
            <w:r w:rsidRPr="006F70D9">
              <w:rPr>
                <w:color w:val="FFFFFF"/>
              </w:rPr>
              <w:t>. What information supports a request for 16 or more hours per week?</w:t>
            </w:r>
          </w:p>
        </w:tc>
        <w:tc>
          <w:tcPr>
            <w:tcW w:w="3300" w:type="pct"/>
            <w:shd w:val="clear" w:color="auto" w:fill="D9EAF7"/>
            <w:hideMark/>
          </w:tcPr>
          <w:p w14:paraId="4E473518" w14:textId="77777777" w:rsidR="00E3102C" w:rsidRPr="00E3102C" w:rsidRDefault="00E3102C">
            <w:pPr>
              <w:spacing w:after="160"/>
              <w:cnfStyle w:val="100000000000" w:firstRow="1" w:lastRow="0" w:firstColumn="0" w:lastColumn="0" w:oddVBand="0" w:evenVBand="0" w:oddHBand="0" w:evenHBand="0" w:firstRowFirstColumn="0" w:firstRowLastColumn="0" w:lastRowFirstColumn="0" w:lastRowLastColumn="0"/>
              <w:rPr>
                <w:b w:val="0"/>
                <w:bCs w:val="0"/>
                <w:color w:val="000000"/>
              </w:rPr>
            </w:pPr>
            <w:r w:rsidRPr="00E3102C">
              <w:rPr>
                <w:b w:val="0"/>
                <w:bCs w:val="0"/>
                <w:color w:val="000000"/>
              </w:rPr>
              <w:t xml:space="preserve">The treatment plan should explain why the requested intensity is medically necessary and include treatment history; current goals tied to the core deficits of autism; assessment results; behavior frequency, intensity, duration, severity, and risk; caregiver capacity; environmental demands; prior response to treatment; barriers; the member’s schedule; FBA or functional-assessment information such as FAST or QABF when applicable; and a transition or fade plan. There is no </w:t>
            </w:r>
            <w:r w:rsidRPr="00E3102C">
              <w:rPr>
                <w:b w:val="0"/>
                <w:bCs w:val="0"/>
                <w:color w:val="000000"/>
              </w:rPr>
              <w:lastRenderedPageBreak/>
              <w:t>single progress percentage that guarantees approval; UM reviews whether the total evidence supports the requested intensity.</w:t>
            </w:r>
          </w:p>
        </w:tc>
      </w:tr>
      <w:tr w:rsidR="00E3102C" w14:paraId="075D55C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156082"/>
            <w:hideMark/>
          </w:tcPr>
          <w:p w14:paraId="7333F094" w14:textId="0360A743" w:rsidR="00E3102C" w:rsidRPr="009A3299" w:rsidRDefault="00684865" w:rsidP="008F778E">
            <w:pPr>
              <w:rPr>
                <w:color w:val="FFFFFF" w:themeColor="background1"/>
              </w:rPr>
            </w:pPr>
            <w:r w:rsidRPr="009A3299">
              <w:rPr>
                <w:color w:val="FFFFFF" w:themeColor="background1"/>
              </w:rPr>
              <w:lastRenderedPageBreak/>
              <w:t>17</w:t>
            </w:r>
            <w:r w:rsidRPr="009A3299">
              <w:rPr>
                <w:color w:val="FFFFFF" w:themeColor="background1"/>
              </w:rPr>
              <w:t>. When does the two-year period begin?</w:t>
            </w:r>
          </w:p>
        </w:tc>
        <w:tc>
          <w:tcPr>
            <w:tcW w:w="0" w:type="auto"/>
            <w:shd w:val="clear" w:color="auto" w:fill="D9EAF7"/>
            <w:hideMark/>
          </w:tcPr>
          <w:p w14:paraId="2AA14192" w14:textId="77777777" w:rsidR="00E3102C" w:rsidRDefault="00E3102C">
            <w:pPr>
              <w:spacing w:after="160"/>
              <w:cnfStyle w:val="000000100000" w:firstRow="0" w:lastRow="0" w:firstColumn="0" w:lastColumn="0" w:oddVBand="0" w:evenVBand="0" w:oddHBand="1" w:evenHBand="0" w:firstRowFirstColumn="0" w:firstRowLastColumn="0" w:lastRowFirstColumn="0" w:lastRowLastColumn="0"/>
              <w:rPr>
                <w:color w:val="000000"/>
              </w:rPr>
            </w:pPr>
            <w:r>
              <w:rPr>
                <w:color w:val="000000"/>
              </w:rPr>
              <w:t>The requirement took effect July 1, 2026. During reauthorization, the CMH will initiate a review when a member has received 20 or more utilized service hours per week for a continuous two-year period, has a treatment plan approved by the BTPRC, and has not made appropriate progress during that period.</w:t>
            </w:r>
          </w:p>
        </w:tc>
      </w:tr>
      <w:tr w:rsidR="00E3102C" w14:paraId="05C1F552" w14:textId="77777777">
        <w:tc>
          <w:tcPr>
            <w:cnfStyle w:val="001000000000" w:firstRow="0" w:lastRow="0" w:firstColumn="1" w:lastColumn="0" w:oddVBand="0" w:evenVBand="0" w:oddHBand="0" w:evenHBand="0" w:firstRowFirstColumn="0" w:firstRowLastColumn="0" w:lastRowFirstColumn="0" w:lastRowLastColumn="0"/>
            <w:tcW w:w="0" w:type="auto"/>
            <w:shd w:val="clear" w:color="auto" w:fill="156082"/>
            <w:hideMark/>
          </w:tcPr>
          <w:p w14:paraId="22B0A809" w14:textId="43F785A9" w:rsidR="00E3102C" w:rsidRPr="008D7DE0" w:rsidRDefault="00684865" w:rsidP="008D7DE0">
            <w:pPr>
              <w:rPr>
                <w:color w:val="FFFFFF"/>
              </w:rPr>
            </w:pPr>
            <w:r w:rsidRPr="009A3299">
              <w:rPr>
                <w:color w:val="FFFFFF" w:themeColor="background1"/>
              </w:rPr>
              <w:t>18</w:t>
            </w:r>
            <w:r w:rsidRPr="009A3299">
              <w:rPr>
                <w:color w:val="FFFFFF" w:themeColor="background1"/>
              </w:rPr>
              <w:t>. What occurs during the two-year review, and who participates?</w:t>
            </w:r>
          </w:p>
        </w:tc>
        <w:tc>
          <w:tcPr>
            <w:tcW w:w="0" w:type="auto"/>
            <w:shd w:val="clear" w:color="auto" w:fill="D9EAF7"/>
            <w:hideMark/>
          </w:tcPr>
          <w:p w14:paraId="6E2B1498" w14:textId="77777777" w:rsidR="00E3102C" w:rsidRDefault="00E3102C">
            <w:pPr>
              <w:spacing w:after="160"/>
              <w:cnfStyle w:val="000000000000" w:firstRow="0" w:lastRow="0" w:firstColumn="0" w:lastColumn="0" w:oddVBand="0" w:evenVBand="0" w:oddHBand="0" w:evenHBand="0" w:firstRowFirstColumn="0" w:firstRowLastColumn="0" w:lastRowFirstColumn="0" w:lastRowLastColumn="0"/>
              <w:rPr>
                <w:color w:val="000000"/>
              </w:rPr>
            </w:pPr>
            <w:r>
              <w:rPr>
                <w:color w:val="000000"/>
              </w:rPr>
              <w:t>The review examines ongoing clinical appropriateness, medical necessity for continued high-intensity care, progress, barriers, behavior risk, utilization, changes to the transition plan, and readiness for other supports. CMHSP UM initiates the review; the LRE autism team evaluates progress and makes clinical recommendations; providers submit records and participate; case managers or other CMHSP clinical staff may support coordination and engagement with the member and family. A review is not an automatic reduction or discharge.</w:t>
            </w:r>
          </w:p>
        </w:tc>
      </w:tr>
      <w:tr w:rsidR="00E3102C" w14:paraId="38F7690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156082"/>
            <w:hideMark/>
          </w:tcPr>
          <w:p w14:paraId="7CED060E" w14:textId="07EA46FB" w:rsidR="00E3102C" w:rsidRPr="00EC6C17" w:rsidRDefault="00684865" w:rsidP="00EC6C17">
            <w:pPr>
              <w:rPr>
                <w:color w:val="FFFFFF"/>
              </w:rPr>
            </w:pPr>
            <w:r w:rsidRPr="009A3299">
              <w:rPr>
                <w:color w:val="FFFFFF" w:themeColor="background1"/>
              </w:rPr>
              <w:t>19</w:t>
            </w:r>
            <w:r w:rsidRPr="009A3299">
              <w:rPr>
                <w:color w:val="FFFFFF" w:themeColor="background1"/>
              </w:rPr>
              <w:t>. Can a member making progress at 20 or more hours continue that intensity?</w:t>
            </w:r>
          </w:p>
        </w:tc>
        <w:tc>
          <w:tcPr>
            <w:tcW w:w="0" w:type="auto"/>
            <w:shd w:val="clear" w:color="auto" w:fill="D9EAF7"/>
            <w:hideMark/>
          </w:tcPr>
          <w:p w14:paraId="2C0E3AED" w14:textId="77777777" w:rsidR="00E3102C" w:rsidRDefault="00E3102C">
            <w:pPr>
              <w:spacing w:after="160"/>
              <w:cnfStyle w:val="000000100000" w:firstRow="0" w:lastRow="0" w:firstColumn="0" w:lastColumn="0" w:oddVBand="0" w:evenVBand="0" w:oddHBand="1" w:evenHBand="0" w:firstRowFirstColumn="0" w:firstRowLastColumn="0" w:lastRowFirstColumn="0" w:lastRowLastColumn="0"/>
              <w:rPr>
                <w:color w:val="000000"/>
              </w:rPr>
            </w:pPr>
            <w:r>
              <w:rPr>
                <w:color w:val="000000"/>
              </w:rPr>
              <w:t>Yes, when current objective data and the individualized treatment plan continue to support medical necessity. Progress is part of the review, not a reason by itself to terminate services. The team should determine whether the current hours remain necessary, whether a gradual step-down is appropriate, and what risks or supports must be addressed.</w:t>
            </w:r>
          </w:p>
        </w:tc>
      </w:tr>
    </w:tbl>
    <w:p w14:paraId="4F69CE84" w14:textId="77777777" w:rsidR="00E3102C" w:rsidRDefault="00E3102C"/>
    <w:p w14:paraId="525C7514" w14:textId="77777777" w:rsidR="00260612" w:rsidRDefault="00260612">
      <w:pPr>
        <w:pStyle w:val="Heading1"/>
        <w:rPr>
          <w:rFonts w:asciiTheme="minorHAnsi" w:hAnsiTheme="minorHAnsi" w:cstheme="minorBidi"/>
        </w:rPr>
      </w:pPr>
      <w:r>
        <w:rPr>
          <w:rFonts w:asciiTheme="minorHAnsi" w:hAnsiTheme="minorHAnsi" w:cstheme="minorBidi"/>
        </w:rPr>
        <w:t>Discharge, Transition, and Level 1 Care</w:t>
      </w:r>
    </w:p>
    <w:tbl>
      <w:tblPr>
        <w:tblStyle w:val="GridTable4-Accent1"/>
        <w:tblW w:w="5000" w:type="pct"/>
        <w:tblLook w:val="04A0" w:firstRow="1" w:lastRow="0" w:firstColumn="1" w:lastColumn="0" w:noHBand="0" w:noVBand="1"/>
      </w:tblPr>
      <w:tblGrid>
        <w:gridCol w:w="4403"/>
        <w:gridCol w:w="8547"/>
      </w:tblGrid>
      <w:tr w:rsidR="00E3102C" w14:paraId="505339C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pct"/>
            <w:shd w:val="clear" w:color="auto" w:fill="156082"/>
            <w:hideMark/>
          </w:tcPr>
          <w:p w14:paraId="3AC1C97D" w14:textId="019A12A8" w:rsidR="00E3102C" w:rsidRPr="00C7159E" w:rsidRDefault="00684865" w:rsidP="00C7159E">
            <w:pPr>
              <w:rPr>
                <w:color w:val="FFFFFF"/>
              </w:rPr>
            </w:pPr>
            <w:r w:rsidRPr="00C7159E">
              <w:rPr>
                <w:color w:val="FFFFFF"/>
              </w:rPr>
              <w:t>20</w:t>
            </w:r>
            <w:r w:rsidRPr="00C7159E">
              <w:rPr>
                <w:color w:val="FFFFFF"/>
              </w:rPr>
              <w:t>. Does turning six or returning to school automatically require discharge?</w:t>
            </w:r>
          </w:p>
        </w:tc>
        <w:tc>
          <w:tcPr>
            <w:tcW w:w="3300" w:type="pct"/>
            <w:shd w:val="clear" w:color="auto" w:fill="D9EAF7"/>
            <w:hideMark/>
          </w:tcPr>
          <w:p w14:paraId="375B9AED" w14:textId="77777777" w:rsidR="00E3102C" w:rsidRPr="00E3102C" w:rsidRDefault="00E3102C">
            <w:pPr>
              <w:spacing w:after="160"/>
              <w:cnfStyle w:val="100000000000" w:firstRow="1" w:lastRow="0" w:firstColumn="0" w:lastColumn="0" w:oddVBand="0" w:evenVBand="0" w:oddHBand="0" w:evenHBand="0" w:firstRowFirstColumn="0" w:firstRowLastColumn="0" w:lastRowFirstColumn="0" w:lastRowLastColumn="0"/>
              <w:rPr>
                <w:b w:val="0"/>
                <w:bCs w:val="0"/>
                <w:color w:val="000000"/>
              </w:rPr>
            </w:pPr>
            <w:r w:rsidRPr="00E3102C">
              <w:rPr>
                <w:b w:val="0"/>
                <w:bCs w:val="0"/>
                <w:color w:val="000000"/>
              </w:rPr>
              <w:t>No. Age alone is not identified as a discharge criterion. Services should be based on medical necessity, current clinical need, educational access, progress, and the individualized discharge and transition plan. School-aged members may continue medically necessary ABA when it is coordinated so that it does not replace or interfere with educational services. Any reduction or transition should be planned, documented, and clinically appropriate.</w:t>
            </w:r>
          </w:p>
        </w:tc>
      </w:tr>
      <w:tr w:rsidR="00E3102C" w14:paraId="50D48F4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156082"/>
            <w:hideMark/>
          </w:tcPr>
          <w:p w14:paraId="23DBA224" w14:textId="596AD639" w:rsidR="00E3102C" w:rsidRPr="00AF4FF5" w:rsidRDefault="00684865" w:rsidP="00AF4FF5">
            <w:pPr>
              <w:rPr>
                <w:color w:val="FFFFFF"/>
              </w:rPr>
            </w:pPr>
            <w:r w:rsidRPr="009A3299">
              <w:rPr>
                <w:color w:val="FFFFFF" w:themeColor="background1"/>
              </w:rPr>
              <w:lastRenderedPageBreak/>
              <w:t>21</w:t>
            </w:r>
            <w:r w:rsidRPr="009A3299">
              <w:rPr>
                <w:color w:val="FFFFFF" w:themeColor="background1"/>
              </w:rPr>
              <w:t>. What does Level 1 care mean, and are members evaluated differently?</w:t>
            </w:r>
          </w:p>
        </w:tc>
        <w:tc>
          <w:tcPr>
            <w:tcW w:w="0" w:type="auto"/>
            <w:shd w:val="clear" w:color="auto" w:fill="D9EAF7"/>
            <w:hideMark/>
          </w:tcPr>
          <w:p w14:paraId="3BE810AD" w14:textId="77777777" w:rsidR="00E3102C" w:rsidRDefault="00E3102C">
            <w:pPr>
              <w:spacing w:after="160"/>
              <w:cnfStyle w:val="000000100000" w:firstRow="0" w:lastRow="0" w:firstColumn="0" w:lastColumn="0" w:oddVBand="0" w:evenVBand="0" w:oddHBand="1" w:evenHBand="0" w:firstRowFirstColumn="0" w:firstRowLastColumn="0" w:lastRowFirstColumn="0" w:lastRowLastColumn="0"/>
              <w:rPr>
                <w:color w:val="000000"/>
              </w:rPr>
            </w:pPr>
            <w:r>
              <w:rPr>
                <w:color w:val="000000"/>
              </w:rPr>
              <w:t>Level 1 refers to individuals whose social-communication differences cause noticeable impairment without support. The framework calls for periodic review of progress and transition readiness and identifies options such as social groups, caregiver/family guidance, and school-based supports. It does not authorize denial or reduction based only on a diagnostic severity label. Each member must receive an individualized, non-discriminatory medical-necessity review based on functional needs, risk, goals, and response to treatment.</w:t>
            </w:r>
          </w:p>
        </w:tc>
      </w:tr>
      <w:tr w:rsidR="00E3102C" w14:paraId="2C9AA8F7" w14:textId="77777777">
        <w:tc>
          <w:tcPr>
            <w:cnfStyle w:val="001000000000" w:firstRow="0" w:lastRow="0" w:firstColumn="1" w:lastColumn="0" w:oddVBand="0" w:evenVBand="0" w:oddHBand="0" w:evenHBand="0" w:firstRowFirstColumn="0" w:firstRowLastColumn="0" w:lastRowFirstColumn="0" w:lastRowLastColumn="0"/>
            <w:tcW w:w="0" w:type="auto"/>
            <w:shd w:val="clear" w:color="auto" w:fill="156082"/>
            <w:hideMark/>
          </w:tcPr>
          <w:p w14:paraId="05891C6B" w14:textId="6585153F" w:rsidR="00E3102C" w:rsidRPr="00DB509F" w:rsidRDefault="00684865" w:rsidP="00DB509F">
            <w:pPr>
              <w:rPr>
                <w:color w:val="FFFFFF"/>
              </w:rPr>
            </w:pPr>
            <w:r w:rsidRPr="009A3299">
              <w:rPr>
                <w:color w:val="FFFFFF" w:themeColor="background1"/>
              </w:rPr>
              <w:t>22</w:t>
            </w:r>
            <w:r w:rsidRPr="009A3299">
              <w:rPr>
                <w:color w:val="FFFFFF" w:themeColor="background1"/>
              </w:rPr>
              <w:t>. Can discharge or transition criteria be changed as a member’s needs evolve?</w:t>
            </w:r>
          </w:p>
        </w:tc>
        <w:tc>
          <w:tcPr>
            <w:tcW w:w="0" w:type="auto"/>
            <w:shd w:val="clear" w:color="auto" w:fill="D9EAF7"/>
            <w:hideMark/>
          </w:tcPr>
          <w:p w14:paraId="7813D9E2" w14:textId="77777777" w:rsidR="00E3102C" w:rsidRDefault="00E3102C">
            <w:pPr>
              <w:spacing w:after="160"/>
              <w:cnfStyle w:val="000000000000" w:firstRow="0" w:lastRow="0" w:firstColumn="0" w:lastColumn="0" w:oddVBand="0" w:evenVBand="0" w:oddHBand="0" w:evenHBand="0" w:firstRowFirstColumn="0" w:firstRowLastColumn="0" w:lastRowFirstColumn="0" w:lastRowLastColumn="0"/>
              <w:rPr>
                <w:color w:val="000000"/>
              </w:rPr>
            </w:pPr>
            <w:r>
              <w:rPr>
                <w:color w:val="000000"/>
              </w:rPr>
              <w:t>Yes. Criteria may be updated when clinically indicated and person-centered. The provider should document what changed, the supporting data, how the revised criteria relate to the core deficits of autism and current family/member goals, and how the transition plan remains measurable. Review is intended to identify unsupported changes made mainly to retain or increase hours, not to prevent legitimate treatment-plan updates.</w:t>
            </w:r>
          </w:p>
        </w:tc>
      </w:tr>
    </w:tbl>
    <w:p w14:paraId="44643690" w14:textId="77777777" w:rsidR="00E3102C" w:rsidRDefault="00E3102C"/>
    <w:p w14:paraId="410296A2" w14:textId="77777777" w:rsidR="00260612" w:rsidRDefault="00260612">
      <w:pPr>
        <w:pStyle w:val="Heading1"/>
        <w:rPr>
          <w:rFonts w:asciiTheme="minorHAnsi" w:hAnsiTheme="minorHAnsi" w:cstheme="minorBidi"/>
        </w:rPr>
      </w:pPr>
      <w:r>
        <w:rPr>
          <w:rFonts w:asciiTheme="minorHAnsi" w:hAnsiTheme="minorHAnsi" w:cstheme="minorBidi"/>
        </w:rPr>
        <w:t>School-Time and Homeschool Services</w:t>
      </w:r>
    </w:p>
    <w:tbl>
      <w:tblPr>
        <w:tblStyle w:val="GridTable4-Accent1"/>
        <w:tblW w:w="5000" w:type="pct"/>
        <w:tblLook w:val="04A0" w:firstRow="1" w:lastRow="0" w:firstColumn="1" w:lastColumn="0" w:noHBand="0" w:noVBand="1"/>
      </w:tblPr>
      <w:tblGrid>
        <w:gridCol w:w="4403"/>
        <w:gridCol w:w="8547"/>
      </w:tblGrid>
      <w:tr w:rsidR="00E3102C" w14:paraId="67BC605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pct"/>
            <w:shd w:val="clear" w:color="auto" w:fill="156082"/>
            <w:hideMark/>
          </w:tcPr>
          <w:p w14:paraId="163BB2D3" w14:textId="21F0D86A" w:rsidR="00E3102C" w:rsidRPr="008F3ABA" w:rsidRDefault="00684865" w:rsidP="008F3ABA">
            <w:pPr>
              <w:rPr>
                <w:color w:val="FFFFFF"/>
              </w:rPr>
            </w:pPr>
            <w:r w:rsidRPr="008F3ABA">
              <w:rPr>
                <w:color w:val="FFFFFF"/>
              </w:rPr>
              <w:t>23</w:t>
            </w:r>
            <w:r w:rsidRPr="008F3ABA">
              <w:rPr>
                <w:color w:val="FFFFFF"/>
              </w:rPr>
              <w:t>. Can a school letter temporarily replace updated IEP/504 language?</w:t>
            </w:r>
          </w:p>
        </w:tc>
        <w:tc>
          <w:tcPr>
            <w:tcW w:w="3300" w:type="pct"/>
            <w:shd w:val="clear" w:color="auto" w:fill="D9EAF7"/>
            <w:hideMark/>
          </w:tcPr>
          <w:p w14:paraId="0B48178E" w14:textId="77777777" w:rsidR="00E3102C" w:rsidRPr="00E3102C" w:rsidRDefault="00E3102C">
            <w:pPr>
              <w:spacing w:after="160"/>
              <w:cnfStyle w:val="100000000000" w:firstRow="1" w:lastRow="0" w:firstColumn="0" w:lastColumn="0" w:oddVBand="0" w:evenVBand="0" w:oddHBand="0" w:evenHBand="0" w:firstRowFirstColumn="0" w:firstRowLastColumn="0" w:lastRowFirstColumn="0" w:lastRowLastColumn="0"/>
              <w:rPr>
                <w:b w:val="0"/>
                <w:bCs w:val="0"/>
                <w:color w:val="000000"/>
              </w:rPr>
            </w:pPr>
            <w:r w:rsidRPr="00E3102C">
              <w:rPr>
                <w:b w:val="0"/>
                <w:bCs w:val="0"/>
                <w:color w:val="000000"/>
              </w:rPr>
              <w:t>No. A school letter cannot serve as a temporary placeholder or substitute for the required IEP/504 documentation. School-time ABA requires appropriate IEP/504 language, school coordination, and CMHSP UM authorization. The IEP team must determine that it cannot meet the child’s needs and has exhausted all options for providing a full day of FAPE. The utilization team will review the supporting data and determine the appropriate authorization based on whether it supports the requested service intensity. Partial authorization for after-school services may be considered while the family requests an IEP meeting or addendum.</w:t>
            </w:r>
          </w:p>
        </w:tc>
      </w:tr>
      <w:tr w:rsidR="00E3102C" w14:paraId="731E55B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156082"/>
            <w:hideMark/>
          </w:tcPr>
          <w:p w14:paraId="40C843C4" w14:textId="40EBAF1B" w:rsidR="00E3102C" w:rsidRPr="00C31C87" w:rsidRDefault="00684865" w:rsidP="00C31C87">
            <w:pPr>
              <w:rPr>
                <w:color w:val="FFFFFF"/>
              </w:rPr>
            </w:pPr>
            <w:r w:rsidRPr="009A3299">
              <w:rPr>
                <w:color w:val="FFFFFF" w:themeColor="background1"/>
              </w:rPr>
              <w:t>24</w:t>
            </w:r>
            <w:r w:rsidRPr="009A3299">
              <w:rPr>
                <w:color w:val="FFFFFF" w:themeColor="background1"/>
              </w:rPr>
              <w:t xml:space="preserve">. What happens if Medicaid becomes primary, an IEP meeting is </w:t>
            </w:r>
            <w:r w:rsidRPr="009A3299">
              <w:rPr>
                <w:color w:val="FFFFFF" w:themeColor="background1"/>
              </w:rPr>
              <w:lastRenderedPageBreak/>
              <w:t>delayed, or the school refuses to add ABA language</w:t>
            </w:r>
            <w:r w:rsidRPr="004F55A2">
              <w:t>?</w:t>
            </w:r>
          </w:p>
        </w:tc>
        <w:tc>
          <w:tcPr>
            <w:tcW w:w="0" w:type="auto"/>
            <w:shd w:val="clear" w:color="auto" w:fill="D9EAF7"/>
            <w:hideMark/>
          </w:tcPr>
          <w:p w14:paraId="5DDC9A75" w14:textId="77777777" w:rsidR="00E3102C" w:rsidRDefault="00E3102C">
            <w:pPr>
              <w:spacing w:after="160"/>
              <w:cnfStyle w:val="000000100000" w:firstRow="0" w:lastRow="0" w:firstColumn="0" w:lastColumn="0" w:oddVBand="0" w:evenVBand="0" w:oddHBand="1" w:evenHBand="0" w:firstRowFirstColumn="0" w:firstRowLastColumn="0" w:lastRowFirstColumn="0" w:lastRowLastColumn="0"/>
              <w:rPr>
                <w:color w:val="000000"/>
              </w:rPr>
            </w:pPr>
            <w:r>
              <w:rPr>
                <w:color w:val="000000"/>
              </w:rPr>
              <w:lastRenderedPageBreak/>
              <w:t xml:space="preserve">The case will receive an individualized UM review rather than an automatic service hold. After-school services may be partially authorized while the family obtains the required educational documentation. School-time ABA requires the </w:t>
            </w:r>
            <w:r>
              <w:rPr>
                <w:color w:val="000000"/>
              </w:rPr>
              <w:lastRenderedPageBreak/>
              <w:t>IEP team to determine that it cannot meet the child’s needs and has exhausted all options for providing a full day of FAPE. The utilization team will review the supporting data and authorize the level of service intensity the documentation supports. The family may request an IEP meeting or addendum to the IEP, and the provider should document the school’s decision, the student’s schedule, any early-release arrangement, and how ABA services will supplement rather than replace educational services. If the school declines to add the required language for a school-aged child age six or older, only after-school ABA services will be authorized.</w:t>
            </w:r>
          </w:p>
        </w:tc>
      </w:tr>
      <w:tr w:rsidR="00E3102C" w14:paraId="278F450C" w14:textId="77777777">
        <w:tc>
          <w:tcPr>
            <w:cnfStyle w:val="001000000000" w:firstRow="0" w:lastRow="0" w:firstColumn="1" w:lastColumn="0" w:oddVBand="0" w:evenVBand="0" w:oddHBand="0" w:evenHBand="0" w:firstRowFirstColumn="0" w:firstRowLastColumn="0" w:lastRowFirstColumn="0" w:lastRowLastColumn="0"/>
            <w:tcW w:w="0" w:type="auto"/>
            <w:shd w:val="clear" w:color="auto" w:fill="156082"/>
            <w:hideMark/>
          </w:tcPr>
          <w:p w14:paraId="6DCA434F" w14:textId="46FF626F" w:rsidR="00E3102C" w:rsidRPr="00D454FF" w:rsidRDefault="00684865" w:rsidP="00D454FF">
            <w:pPr>
              <w:rPr>
                <w:color w:val="FFFFFF"/>
              </w:rPr>
            </w:pPr>
            <w:r w:rsidRPr="009A3299">
              <w:rPr>
                <w:color w:val="FFFFFF" w:themeColor="background1"/>
              </w:rPr>
              <w:lastRenderedPageBreak/>
              <w:t>25</w:t>
            </w:r>
            <w:r w:rsidRPr="009A3299">
              <w:rPr>
                <w:color w:val="FFFFFF" w:themeColor="background1"/>
              </w:rPr>
              <w:t>. Are schools being informed, and what language is sufficient?</w:t>
            </w:r>
          </w:p>
        </w:tc>
        <w:tc>
          <w:tcPr>
            <w:tcW w:w="0" w:type="auto"/>
            <w:shd w:val="clear" w:color="auto" w:fill="D9EAF7"/>
            <w:hideMark/>
          </w:tcPr>
          <w:p w14:paraId="03853001" w14:textId="77777777" w:rsidR="00E3102C" w:rsidRDefault="00E3102C">
            <w:pPr>
              <w:spacing w:after="160"/>
              <w:cnfStyle w:val="000000000000" w:firstRow="0" w:lastRow="0" w:firstColumn="0" w:lastColumn="0" w:oddVBand="0" w:evenVBand="0" w:oddHBand="0" w:evenHBand="0" w:firstRowFirstColumn="0" w:firstRowLastColumn="0" w:lastRowFirstColumn="0" w:lastRowLastColumn="0"/>
              <w:rPr>
                <w:color w:val="000000"/>
              </w:rPr>
            </w:pPr>
            <w:r>
              <w:rPr>
                <w:color w:val="000000"/>
              </w:rPr>
              <w:t>The framework requires appropriate IEP/504 documentation and coordination. Although outreach is more difficult during the summer, CMHSPs and LRE have attempted to contact ISDs, and providers have been encouraged to share the ABA school guidance issued last year. If a school declines to add the required language to the IEP, it is acknowledging responsibility for meeting the student’s needs during the school day in accordance with FAPE requirements.</w:t>
            </w:r>
          </w:p>
        </w:tc>
      </w:tr>
      <w:tr w:rsidR="00E3102C" w14:paraId="2ACA97D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156082"/>
            <w:hideMark/>
          </w:tcPr>
          <w:p w14:paraId="3E58970E" w14:textId="6C01DD88" w:rsidR="00E3102C" w:rsidRPr="009923FB" w:rsidRDefault="00684865" w:rsidP="009923FB">
            <w:pPr>
              <w:rPr>
                <w:color w:val="FFFFFF"/>
              </w:rPr>
            </w:pPr>
            <w:r w:rsidRPr="009A3299">
              <w:rPr>
                <w:color w:val="FFFFFF" w:themeColor="background1"/>
              </w:rPr>
              <w:t>26</w:t>
            </w:r>
            <w:r w:rsidRPr="009A3299">
              <w:rPr>
                <w:color w:val="FFFFFF" w:themeColor="background1"/>
              </w:rPr>
              <w:t xml:space="preserve">. Can ABA still be delivered </w:t>
            </w:r>
            <w:proofErr w:type="gramStart"/>
            <w:r w:rsidRPr="009A3299">
              <w:rPr>
                <w:color w:val="FFFFFF" w:themeColor="background1"/>
              </w:rPr>
              <w:t>in</w:t>
            </w:r>
            <w:proofErr w:type="gramEnd"/>
            <w:r w:rsidRPr="009A3299">
              <w:rPr>
                <w:color w:val="FFFFFF" w:themeColor="background1"/>
              </w:rPr>
              <w:t xml:space="preserve"> school to support staff?</w:t>
            </w:r>
          </w:p>
        </w:tc>
        <w:tc>
          <w:tcPr>
            <w:tcW w:w="0" w:type="auto"/>
            <w:shd w:val="clear" w:color="auto" w:fill="D9EAF7"/>
            <w:hideMark/>
          </w:tcPr>
          <w:p w14:paraId="67A7C8AE" w14:textId="77777777" w:rsidR="00E3102C" w:rsidRDefault="00E3102C">
            <w:pPr>
              <w:spacing w:after="160"/>
              <w:cnfStyle w:val="000000100000" w:firstRow="0" w:lastRow="0" w:firstColumn="0" w:lastColumn="0" w:oddVBand="0" w:evenVBand="0" w:oddHBand="1" w:evenHBand="0" w:firstRowFirstColumn="0" w:firstRowLastColumn="0" w:lastRowFirstColumn="0" w:lastRowLastColumn="0"/>
              <w:rPr>
                <w:color w:val="000000"/>
              </w:rPr>
            </w:pPr>
            <w:r>
              <w:rPr>
                <w:color w:val="000000"/>
              </w:rPr>
              <w:t>The framework allows school-based ABA when services are coordinated with the school, documented in the IEP/504, authorized by UM, and provided without limiting the student’s full school day or least restrictive environment. ABA must not replace educational services, and treatment goals must address the core deficits of autism.</w:t>
            </w:r>
          </w:p>
        </w:tc>
      </w:tr>
      <w:tr w:rsidR="00E3102C" w14:paraId="6052E45B" w14:textId="77777777">
        <w:tc>
          <w:tcPr>
            <w:cnfStyle w:val="001000000000" w:firstRow="0" w:lastRow="0" w:firstColumn="1" w:lastColumn="0" w:oddVBand="0" w:evenVBand="0" w:oddHBand="0" w:evenHBand="0" w:firstRowFirstColumn="0" w:firstRowLastColumn="0" w:lastRowFirstColumn="0" w:lastRowLastColumn="0"/>
            <w:tcW w:w="0" w:type="auto"/>
            <w:shd w:val="clear" w:color="auto" w:fill="156082"/>
            <w:hideMark/>
          </w:tcPr>
          <w:p w14:paraId="392F409C" w14:textId="782BEEDD" w:rsidR="00E3102C" w:rsidRPr="00872A9A" w:rsidRDefault="00684865" w:rsidP="00872A9A">
            <w:pPr>
              <w:rPr>
                <w:color w:val="FFFFFF"/>
              </w:rPr>
            </w:pPr>
            <w:r w:rsidRPr="009A3299">
              <w:rPr>
                <w:color w:val="FFFFFF" w:themeColor="background1"/>
              </w:rPr>
              <w:t>27</w:t>
            </w:r>
            <w:r w:rsidRPr="009A3299">
              <w:rPr>
                <w:color w:val="FFFFFF" w:themeColor="background1"/>
              </w:rPr>
              <w:t>. How are homeschool schedules, repeated school send-homes, or shortened days handled?</w:t>
            </w:r>
          </w:p>
        </w:tc>
        <w:tc>
          <w:tcPr>
            <w:tcW w:w="0" w:type="auto"/>
            <w:shd w:val="clear" w:color="auto" w:fill="D9EAF7"/>
            <w:hideMark/>
          </w:tcPr>
          <w:p w14:paraId="64CE7B09" w14:textId="77777777" w:rsidR="00E3102C" w:rsidRDefault="00E3102C">
            <w:pPr>
              <w:spacing w:after="160"/>
              <w:cnfStyle w:val="000000000000" w:firstRow="0" w:lastRow="0" w:firstColumn="0" w:lastColumn="0" w:oddVBand="0" w:evenVBand="0" w:oddHBand="0" w:evenHBand="0" w:firstRowFirstColumn="0" w:firstRowLastColumn="0" w:lastRowFirstColumn="0" w:lastRowLastColumn="0"/>
              <w:rPr>
                <w:color w:val="000000"/>
              </w:rPr>
            </w:pPr>
            <w:r>
              <w:rPr>
                <w:color w:val="000000"/>
              </w:rPr>
              <w:t>UM should review the member’s actual approved education schedule rather than rely only on traditional school hours. Providers should submit the homeschool plan or schedule and demonstrate that ABA does not interfere with required instruction. When a school repeatedly sends a student home or considers a shortened day, the school/IEP team should document the educational decision and a plan for return to a full day; UM should review the specific facts and supporting records rather than issue a blanket denial.</w:t>
            </w:r>
          </w:p>
        </w:tc>
      </w:tr>
      <w:tr w:rsidR="004E6E55" w14:paraId="45042530" w14:textId="77777777" w:rsidTr="00395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left w:val="single" w:sz="8" w:space="0" w:color="45B0E1"/>
              <w:bottom w:val="single" w:sz="8" w:space="0" w:color="45B0E1"/>
              <w:right w:val="single" w:sz="8" w:space="0" w:color="45B0E1"/>
            </w:tcBorders>
            <w:shd w:val="clear" w:color="auto" w:fill="156082"/>
            <w:hideMark/>
          </w:tcPr>
          <w:p w14:paraId="40173140" w14:textId="6A2352A0" w:rsidR="004E6E55" w:rsidRPr="0008584E" w:rsidRDefault="00684865" w:rsidP="0008584E">
            <w:pPr>
              <w:rPr>
                <w:color w:val="FFFFFF"/>
              </w:rPr>
            </w:pPr>
            <w:r w:rsidRPr="009A3299">
              <w:rPr>
                <w:color w:val="FFFFFF" w:themeColor="background1"/>
              </w:rPr>
              <w:lastRenderedPageBreak/>
              <w:t>28</w:t>
            </w:r>
            <w:r w:rsidRPr="009A3299">
              <w:rPr>
                <w:color w:val="FFFFFF" w:themeColor="background1"/>
              </w:rPr>
              <w:t>. Are the documentation requirements the same for ECSE when there is a request to miss instructional time for ABA?</w:t>
            </w:r>
          </w:p>
        </w:tc>
        <w:tc>
          <w:tcPr>
            <w:tcW w:w="0" w:type="auto"/>
            <w:tcBorders>
              <w:top w:val="nil"/>
              <w:left w:val="nil"/>
              <w:bottom w:val="single" w:sz="8" w:space="0" w:color="45B0E1"/>
              <w:right w:val="single" w:sz="8" w:space="0" w:color="45B0E1"/>
            </w:tcBorders>
            <w:shd w:val="clear" w:color="auto" w:fill="D9EAF7"/>
            <w:tcMar>
              <w:top w:w="0" w:type="dxa"/>
              <w:left w:w="108" w:type="dxa"/>
              <w:bottom w:w="0" w:type="dxa"/>
              <w:right w:w="108" w:type="dxa"/>
            </w:tcMar>
            <w:hideMark/>
          </w:tcPr>
          <w:p w14:paraId="02668A63" w14:textId="77777777" w:rsidR="00382543" w:rsidRDefault="00AE36D0">
            <w:pPr>
              <w:cnfStyle w:val="000000100000" w:firstRow="0" w:lastRow="0" w:firstColumn="0" w:lastColumn="0" w:oddVBand="0" w:evenVBand="0" w:oddHBand="1" w:evenHBand="0" w:firstRowFirstColumn="0" w:firstRowLastColumn="0" w:lastRowFirstColumn="0" w:lastRowLastColumn="0"/>
            </w:pPr>
            <w:r w:rsidRPr="00AE36D0">
              <w:rPr>
                <w:color w:val="000000"/>
              </w:rPr>
              <w:t xml:space="preserve">Requests involving ECSE clients </w:t>
            </w:r>
            <w:proofErr w:type="gramStart"/>
            <w:r w:rsidRPr="00AE36D0">
              <w:rPr>
                <w:color w:val="000000"/>
              </w:rPr>
              <w:t>under age</w:t>
            </w:r>
            <w:proofErr w:type="gramEnd"/>
            <w:r w:rsidRPr="00AE36D0">
              <w:rPr>
                <w:color w:val="000000"/>
              </w:rPr>
              <w:t xml:space="preserve"> five will be reviewed individually. Providers must submit documentation</w:t>
            </w:r>
            <w:r w:rsidR="00684865">
              <w:rPr>
                <w:color w:val="000000"/>
              </w:rPr>
              <w:t xml:space="preserve">, behavior data, and </w:t>
            </w:r>
            <w:r w:rsidR="00684865">
              <w:rPr>
                <w:color w:val="000000"/>
              </w:rPr>
              <w:t xml:space="preserve">clinical rationale </w:t>
            </w:r>
            <w:r w:rsidR="00684865">
              <w:rPr>
                <w:color w:val="000000"/>
              </w:rPr>
              <w:t xml:space="preserve">to support </w:t>
            </w:r>
            <w:r w:rsidR="00684865">
              <w:rPr>
                <w:color w:val="000000"/>
              </w:rPr>
              <w:t>higher ABA hours.</w:t>
            </w:r>
          </w:p>
          <w:p w14:paraId="54C92E5A" w14:textId="7958DE5D" w:rsidR="004E6E55" w:rsidRDefault="00021B9D" w:rsidP="00021B9D">
            <w:pPr>
              <w:cnfStyle w:val="000000100000" w:firstRow="0" w:lastRow="0" w:firstColumn="0" w:lastColumn="0" w:oddVBand="0" w:evenVBand="0" w:oddHBand="1" w:evenHBand="0" w:firstRowFirstColumn="0" w:firstRowLastColumn="0" w:lastRowFirstColumn="0" w:lastRowLastColumn="0"/>
            </w:pPr>
            <w:r w:rsidRPr="00021B9D">
              <w:rPr>
                <w:color w:val="000000"/>
              </w:rPr>
              <w:t>If the client is progressing and would benefit more from school than additional ABA</w:t>
            </w:r>
            <w:r w:rsidR="00684865">
              <w:rPr>
                <w:color w:val="000000"/>
              </w:rPr>
              <w:t>, the reviewer may recommend school attendance</w:t>
            </w:r>
            <w:r w:rsidRPr="00021B9D">
              <w:rPr>
                <w:color w:val="000000"/>
              </w:rPr>
              <w:t>.</w:t>
            </w:r>
            <w:r w:rsidR="00684865">
              <w:rPr>
                <w:color w:val="000000"/>
              </w:rPr>
              <w:t xml:space="preserve"> This recommendation does not need to </w:t>
            </w:r>
            <w:r w:rsidRPr="00021B9D">
              <w:rPr>
                <w:color w:val="000000"/>
              </w:rPr>
              <w:t>appear</w:t>
            </w:r>
            <w:r w:rsidR="00684865">
              <w:rPr>
                <w:color w:val="000000"/>
              </w:rPr>
              <w:t xml:space="preserve"> in the IEP</w:t>
            </w:r>
            <w:r w:rsidRPr="00021B9D">
              <w:rPr>
                <w:color w:val="000000"/>
              </w:rPr>
              <w:t xml:space="preserve"> because</w:t>
            </w:r>
            <w:r w:rsidR="00684865">
              <w:rPr>
                <w:color w:val="000000"/>
              </w:rPr>
              <w:t xml:space="preserve"> parents may choose to withdraw their child. Because FAPE requirements apply differently to children under age six, the </w:t>
            </w:r>
            <w:r w:rsidRPr="00021B9D">
              <w:rPr>
                <w:color w:val="000000"/>
              </w:rPr>
              <w:t xml:space="preserve">same </w:t>
            </w:r>
            <w:r w:rsidR="00684865">
              <w:rPr>
                <w:color w:val="000000"/>
              </w:rPr>
              <w:t xml:space="preserve">documentation </w:t>
            </w:r>
            <w:r w:rsidRPr="00021B9D">
              <w:rPr>
                <w:color w:val="000000"/>
              </w:rPr>
              <w:t>standards used</w:t>
            </w:r>
            <w:r w:rsidR="00684865">
              <w:rPr>
                <w:color w:val="000000"/>
              </w:rPr>
              <w:t xml:space="preserve"> for school-aged children</w:t>
            </w:r>
            <w:r w:rsidRPr="00021B9D">
              <w:rPr>
                <w:color w:val="000000"/>
              </w:rPr>
              <w:t xml:space="preserve"> do not apply</w:t>
            </w:r>
            <w:r w:rsidR="00684865">
              <w:rPr>
                <w:color w:val="000000"/>
              </w:rPr>
              <w:t>.</w:t>
            </w:r>
          </w:p>
        </w:tc>
      </w:tr>
      <w:tr w:rsidR="00331752" w14:paraId="6C6E1234" w14:textId="77777777" w:rsidTr="00331752">
        <w:tc>
          <w:tcPr>
            <w:cnfStyle w:val="001000000000" w:firstRow="0" w:lastRow="0" w:firstColumn="1" w:lastColumn="0" w:oddVBand="0" w:evenVBand="0" w:oddHBand="0" w:evenHBand="0" w:firstRowFirstColumn="0" w:firstRowLastColumn="0" w:lastRowFirstColumn="0" w:lastRowLastColumn="0"/>
            <w:tcW w:w="0" w:type="auto"/>
            <w:tcBorders>
              <w:top w:val="nil"/>
              <w:left w:val="single" w:sz="8" w:space="0" w:color="45B0E1"/>
              <w:bottom w:val="single" w:sz="8" w:space="0" w:color="45B0E1"/>
              <w:right w:val="single" w:sz="8" w:space="0" w:color="45B0E1"/>
            </w:tcBorders>
            <w:shd w:val="clear" w:color="auto" w:fill="156082"/>
            <w:hideMark/>
          </w:tcPr>
          <w:p w14:paraId="1C71A443" w14:textId="61275385" w:rsidR="00331752" w:rsidRPr="00FD7C02" w:rsidRDefault="00684865" w:rsidP="00FD7C02">
            <w:pPr>
              <w:rPr>
                <w:color w:val="FFFFFF"/>
              </w:rPr>
            </w:pPr>
            <w:r>
              <w:rPr>
                <w:color w:val="FFFFFF"/>
              </w:rPr>
              <w:t>29. How should services be handled while a child is enrolling in school or waiting for an evaluation, IEP meeting, or completed IEP?</w:t>
            </w:r>
          </w:p>
        </w:tc>
        <w:tc>
          <w:tcPr>
            <w:tcW w:w="0" w:type="auto"/>
            <w:tcBorders>
              <w:top w:val="nil"/>
              <w:left w:val="nil"/>
              <w:bottom w:val="single" w:sz="8" w:space="0" w:color="45B0E1"/>
              <w:right w:val="single" w:sz="8" w:space="0" w:color="45B0E1"/>
            </w:tcBorders>
            <w:shd w:val="clear" w:color="auto" w:fill="D9EAF7"/>
            <w:tcMar>
              <w:top w:w="0" w:type="dxa"/>
              <w:left w:w="108" w:type="dxa"/>
              <w:bottom w:w="0" w:type="dxa"/>
              <w:right w:w="108" w:type="dxa"/>
            </w:tcMar>
            <w:hideMark/>
          </w:tcPr>
          <w:p w14:paraId="4EB7636C" w14:textId="77777777" w:rsidR="00331752" w:rsidRDefault="00331752">
            <w:pPr>
              <w:cnfStyle w:val="000000000000" w:firstRow="0" w:lastRow="0" w:firstColumn="0" w:lastColumn="0" w:oddVBand="0" w:evenVBand="0" w:oddHBand="0" w:evenHBand="0" w:firstRowFirstColumn="0" w:firstRowLastColumn="0" w:lastRowFirstColumn="0" w:lastRowLastColumn="0"/>
            </w:pPr>
            <w:r>
              <w:rPr>
                <w:color w:val="000000"/>
              </w:rPr>
              <w:t>A partial authorization for after-school hours may be approved during the transition. Parents may also request an IEP meeting or addendum. Reviewers should use clinical judgment to determine whether higher hours are behaviorally appropriate based on the treatment plan and supporting data. Full requested hours should not be approved without further review because the school may ultimately decline the proposed services. Additional case consultation is available when needed.</w:t>
            </w:r>
          </w:p>
        </w:tc>
      </w:tr>
      <w:tr w:rsidR="00331752" w14:paraId="70F9EFDD" w14:textId="77777777" w:rsidTr="00331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left w:val="single" w:sz="8" w:space="0" w:color="45B0E1"/>
              <w:bottom w:val="single" w:sz="8" w:space="0" w:color="45B0E1"/>
              <w:right w:val="single" w:sz="8" w:space="0" w:color="45B0E1"/>
            </w:tcBorders>
            <w:shd w:val="clear" w:color="auto" w:fill="156082"/>
            <w:hideMark/>
          </w:tcPr>
          <w:p w14:paraId="69ABEC1B" w14:textId="7B8F1BD8" w:rsidR="00331752" w:rsidRPr="00986574" w:rsidRDefault="00684865" w:rsidP="00986574">
            <w:pPr>
              <w:rPr>
                <w:color w:val="FFFFFF"/>
              </w:rPr>
            </w:pPr>
            <w:r>
              <w:rPr>
                <w:color w:val="FFFFFF"/>
              </w:rPr>
              <w:t>30. How should current school-time ABA services be handled when they are not documented in the IEP and school is not in session?</w:t>
            </w:r>
          </w:p>
        </w:tc>
        <w:tc>
          <w:tcPr>
            <w:tcW w:w="0" w:type="auto"/>
            <w:tcBorders>
              <w:top w:val="nil"/>
              <w:left w:val="nil"/>
              <w:bottom w:val="single" w:sz="8" w:space="0" w:color="45B0E1"/>
              <w:right w:val="single" w:sz="8" w:space="0" w:color="45B0E1"/>
            </w:tcBorders>
            <w:shd w:val="clear" w:color="auto" w:fill="D9EAF7"/>
            <w:tcMar>
              <w:top w:w="0" w:type="dxa"/>
              <w:left w:w="108" w:type="dxa"/>
              <w:bottom w:w="0" w:type="dxa"/>
              <w:right w:w="108" w:type="dxa"/>
            </w:tcMar>
            <w:hideMark/>
          </w:tcPr>
          <w:p w14:paraId="038DC637" w14:textId="77777777" w:rsidR="00331752" w:rsidRDefault="00331752">
            <w:pPr>
              <w:cnfStyle w:val="000000100000" w:firstRow="0" w:lastRow="0" w:firstColumn="0" w:lastColumn="0" w:oddVBand="0" w:evenVBand="0" w:oddHBand="1" w:evenHBand="0" w:firstRowFirstColumn="0" w:firstRowLastColumn="0" w:lastRowFirstColumn="0" w:lastRowLastColumn="0"/>
            </w:pPr>
            <w:r>
              <w:rPr>
                <w:color w:val="000000"/>
              </w:rPr>
              <w:t xml:space="preserve">Use the same approach described above. A partial authorization for after-school hours may be considered while the family arranges an IEP meeting or addendum. Reviewers should evaluate the treatment plan and </w:t>
            </w:r>
            <w:proofErr w:type="gramStart"/>
            <w:r>
              <w:rPr>
                <w:color w:val="000000"/>
              </w:rPr>
              <w:t>supporting</w:t>
            </w:r>
            <w:proofErr w:type="gramEnd"/>
            <w:r>
              <w:rPr>
                <w:color w:val="000000"/>
              </w:rPr>
              <w:t xml:space="preserve"> data to determine whether higher hours are clinically appropriate rather than automatically approving school-time services.</w:t>
            </w:r>
          </w:p>
        </w:tc>
      </w:tr>
      <w:tr w:rsidR="00331752" w14:paraId="72B20BCF" w14:textId="77777777" w:rsidTr="00331752">
        <w:tc>
          <w:tcPr>
            <w:cnfStyle w:val="001000000000" w:firstRow="0" w:lastRow="0" w:firstColumn="1" w:lastColumn="0" w:oddVBand="0" w:evenVBand="0" w:oddHBand="0" w:evenHBand="0" w:firstRowFirstColumn="0" w:firstRowLastColumn="0" w:lastRowFirstColumn="0" w:lastRowLastColumn="0"/>
            <w:tcW w:w="0" w:type="auto"/>
            <w:tcBorders>
              <w:top w:val="nil"/>
              <w:left w:val="single" w:sz="8" w:space="0" w:color="45B0E1"/>
              <w:bottom w:val="single" w:sz="8" w:space="0" w:color="45B0E1"/>
              <w:right w:val="single" w:sz="8" w:space="0" w:color="45B0E1"/>
            </w:tcBorders>
            <w:shd w:val="clear" w:color="auto" w:fill="156082"/>
            <w:hideMark/>
          </w:tcPr>
          <w:p w14:paraId="6BDB5D5C" w14:textId="2B0B0BE9" w:rsidR="00331752" w:rsidRPr="00847EE1" w:rsidRDefault="00684865" w:rsidP="00847EE1">
            <w:pPr>
              <w:rPr>
                <w:color w:val="FFFFFF"/>
              </w:rPr>
            </w:pPr>
            <w:r>
              <w:rPr>
                <w:color w:val="FFFFFF"/>
              </w:rPr>
              <w:t>31. What documentation is required when ABA is provided through Head Start, Early On, a private school, or another program that does not issue an IEP or 504 plan?</w:t>
            </w:r>
          </w:p>
        </w:tc>
        <w:tc>
          <w:tcPr>
            <w:tcW w:w="0" w:type="auto"/>
            <w:tcBorders>
              <w:top w:val="nil"/>
              <w:left w:val="nil"/>
              <w:bottom w:val="single" w:sz="8" w:space="0" w:color="45B0E1"/>
              <w:right w:val="single" w:sz="8" w:space="0" w:color="45B0E1"/>
            </w:tcBorders>
            <w:shd w:val="clear" w:color="auto" w:fill="D9EAF7"/>
            <w:tcMar>
              <w:top w:w="0" w:type="dxa"/>
              <w:left w:w="108" w:type="dxa"/>
              <w:bottom w:w="0" w:type="dxa"/>
              <w:right w:w="108" w:type="dxa"/>
            </w:tcMar>
            <w:hideMark/>
          </w:tcPr>
          <w:p w14:paraId="59998C8E" w14:textId="77777777" w:rsidR="00331752" w:rsidRDefault="00331752">
            <w:pPr>
              <w:cnfStyle w:val="000000000000" w:firstRow="0" w:lastRow="0" w:firstColumn="0" w:lastColumn="0" w:oddVBand="0" w:evenVBand="0" w:oddHBand="0" w:evenHBand="0" w:firstRowFirstColumn="0" w:firstRowLastColumn="0" w:lastRowFirstColumn="0" w:lastRowLastColumn="0"/>
            </w:pPr>
            <w:r>
              <w:rPr>
                <w:color w:val="000000"/>
              </w:rPr>
              <w:t xml:space="preserve">Private schools and programs serving children under age six require individualized review. Providers should submit the child’s program schedule so reviewers can confirm that ABA does not occur during scheduled instructional hours. Reviewers should examine </w:t>
            </w:r>
            <w:proofErr w:type="gramStart"/>
            <w:r>
              <w:rPr>
                <w:color w:val="000000"/>
              </w:rPr>
              <w:t>the clinical</w:t>
            </w:r>
            <w:proofErr w:type="gramEnd"/>
            <w:r>
              <w:rPr>
                <w:color w:val="000000"/>
              </w:rPr>
              <w:t xml:space="preserve"> data to determine whether higher hours are appropriate and confirm that ABA goals address the core deficits of autism rather than school-related objectives. When ABA is delivered in the educational setting, treatment goals must remain clinically focused and distinct from school goals.</w:t>
            </w:r>
          </w:p>
        </w:tc>
      </w:tr>
    </w:tbl>
    <w:p w14:paraId="6C37AE8A" w14:textId="77777777" w:rsidR="00E3102C" w:rsidRDefault="00E3102C"/>
    <w:p w14:paraId="078A278A" w14:textId="77777777" w:rsidR="00260612" w:rsidRDefault="00260612">
      <w:pPr>
        <w:pStyle w:val="Heading1"/>
        <w:rPr>
          <w:rFonts w:asciiTheme="minorHAnsi" w:hAnsiTheme="minorHAnsi" w:cstheme="minorBidi"/>
        </w:rPr>
      </w:pPr>
      <w:r>
        <w:rPr>
          <w:rFonts w:asciiTheme="minorHAnsi" w:hAnsiTheme="minorHAnsi" w:cstheme="minorBidi"/>
        </w:rPr>
        <w:lastRenderedPageBreak/>
        <w:t>Documentation, Group Services, and Regional Consistency</w:t>
      </w:r>
    </w:p>
    <w:tbl>
      <w:tblPr>
        <w:tblStyle w:val="GridTable4-Accent1"/>
        <w:tblW w:w="5000" w:type="pct"/>
        <w:tblLook w:val="04A0" w:firstRow="1" w:lastRow="0" w:firstColumn="1" w:lastColumn="0" w:noHBand="0" w:noVBand="1"/>
      </w:tblPr>
      <w:tblGrid>
        <w:gridCol w:w="4403"/>
        <w:gridCol w:w="8547"/>
      </w:tblGrid>
      <w:tr w:rsidR="00E3102C" w14:paraId="6648AD6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pct"/>
            <w:shd w:val="clear" w:color="auto" w:fill="156082"/>
            <w:hideMark/>
          </w:tcPr>
          <w:p w14:paraId="16A52FEB" w14:textId="3338FF45" w:rsidR="00E3102C" w:rsidRPr="00344074" w:rsidRDefault="00684865" w:rsidP="00344074">
            <w:pPr>
              <w:rPr>
                <w:color w:val="FFFFFF"/>
              </w:rPr>
            </w:pPr>
            <w:r w:rsidRPr="00344074">
              <w:rPr>
                <w:color w:val="FFFFFF"/>
              </w:rPr>
              <w:t>32</w:t>
            </w:r>
            <w:r w:rsidRPr="00344074">
              <w:rPr>
                <w:color w:val="FFFFFF"/>
              </w:rPr>
              <w:t>. Why is CASP referenced for session-note documentation but not as the sole standard for service intensity?</w:t>
            </w:r>
          </w:p>
        </w:tc>
        <w:tc>
          <w:tcPr>
            <w:tcW w:w="3300" w:type="pct"/>
            <w:shd w:val="clear" w:color="auto" w:fill="D9EAF7"/>
            <w:hideMark/>
          </w:tcPr>
          <w:p w14:paraId="5A2C0856" w14:textId="77777777" w:rsidR="00E3102C" w:rsidRPr="00E3102C" w:rsidRDefault="00E3102C">
            <w:pPr>
              <w:spacing w:after="160"/>
              <w:cnfStyle w:val="100000000000" w:firstRow="1" w:lastRow="0" w:firstColumn="0" w:lastColumn="0" w:oddVBand="0" w:evenVBand="0" w:oddHBand="0" w:evenHBand="0" w:firstRowFirstColumn="0" w:firstRowLastColumn="0" w:lastRowFirstColumn="0" w:lastRowLastColumn="0"/>
              <w:rPr>
                <w:b w:val="0"/>
                <w:bCs w:val="0"/>
                <w:color w:val="000000"/>
              </w:rPr>
            </w:pPr>
            <w:r w:rsidRPr="00E3102C">
              <w:rPr>
                <w:b w:val="0"/>
                <w:bCs w:val="0"/>
                <w:color w:val="000000"/>
              </w:rPr>
              <w:t>The state has recommended using the CASP SOAP-note format because of the potential for OIG audits. The state has not recommended CASP for other aspects of the framework. Decisions remain based on individualized medical necessity, UM requirements, objective clinical data, applicable benefit rules, and the member’s treatment and transition plan. The 16-hour threshold triggers the need for additional clinical rationale; it is not a definition of comprehensive care or an automatic maximum.</w:t>
            </w:r>
          </w:p>
        </w:tc>
      </w:tr>
      <w:tr w:rsidR="00E3102C" w14:paraId="10F6A38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156082"/>
            <w:hideMark/>
          </w:tcPr>
          <w:p w14:paraId="0D30F9F3" w14:textId="2FD389FE" w:rsidR="00E3102C" w:rsidRPr="00D203F5" w:rsidRDefault="00684865" w:rsidP="00D203F5">
            <w:pPr>
              <w:rPr>
                <w:color w:val="FFFFFF"/>
              </w:rPr>
            </w:pPr>
            <w:r w:rsidRPr="009A3299">
              <w:rPr>
                <w:color w:val="FFFFFF" w:themeColor="background1"/>
              </w:rPr>
              <w:t>33</w:t>
            </w:r>
            <w:r w:rsidRPr="009A3299">
              <w:rPr>
                <w:color w:val="FFFFFF" w:themeColor="background1"/>
              </w:rPr>
              <w:t>. Will reimbursement increase for group or family transition services, and will these become contract requirements?</w:t>
            </w:r>
          </w:p>
        </w:tc>
        <w:tc>
          <w:tcPr>
            <w:tcW w:w="0" w:type="auto"/>
            <w:shd w:val="clear" w:color="auto" w:fill="D9EAF7"/>
            <w:hideMark/>
          </w:tcPr>
          <w:p w14:paraId="2AF1953A" w14:textId="64C84CFE" w:rsidR="00E3102C" w:rsidRDefault="00E3102C">
            <w:pPr>
              <w:spacing w:after="160"/>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Not </w:t>
            </w:r>
            <w:r w:rsidR="00937490">
              <w:rPr>
                <w:color w:val="000000"/>
              </w:rPr>
              <w:t>currently</w:t>
            </w:r>
            <w:r>
              <w:rPr>
                <w:color w:val="000000"/>
              </w:rPr>
              <w:t>. A rate discussion will occur once the new codes are approved for use, and reimbursement for group codes can be considered at that time. The framework encourages CMHSPs and provider organizations to offer group and family services when clinically appropriate, but it does not currently establish new reimbursement rates or require these services in every provider contract.</w:t>
            </w:r>
          </w:p>
        </w:tc>
      </w:tr>
      <w:tr w:rsidR="00E3102C" w14:paraId="0CF48872" w14:textId="77777777">
        <w:tc>
          <w:tcPr>
            <w:cnfStyle w:val="001000000000" w:firstRow="0" w:lastRow="0" w:firstColumn="1" w:lastColumn="0" w:oddVBand="0" w:evenVBand="0" w:oddHBand="0" w:evenHBand="0" w:firstRowFirstColumn="0" w:firstRowLastColumn="0" w:lastRowFirstColumn="0" w:lastRowLastColumn="0"/>
            <w:tcW w:w="0" w:type="auto"/>
            <w:shd w:val="clear" w:color="auto" w:fill="156082"/>
            <w:hideMark/>
          </w:tcPr>
          <w:p w14:paraId="60EBE9CD" w14:textId="23F136BB" w:rsidR="00E3102C" w:rsidRPr="004176C3" w:rsidRDefault="00684865" w:rsidP="004176C3">
            <w:pPr>
              <w:rPr>
                <w:color w:val="FFFFFF"/>
              </w:rPr>
            </w:pPr>
            <w:r w:rsidRPr="009A3299">
              <w:rPr>
                <w:color w:val="FFFFFF" w:themeColor="background1"/>
              </w:rPr>
              <w:t>34</w:t>
            </w:r>
            <w:r w:rsidRPr="009A3299">
              <w:rPr>
                <w:color w:val="FFFFFF" w:themeColor="background1"/>
              </w:rPr>
              <w:t>. How will LRE promote consistent implementation across CMHSPs?</w:t>
            </w:r>
          </w:p>
        </w:tc>
        <w:tc>
          <w:tcPr>
            <w:tcW w:w="0" w:type="auto"/>
            <w:shd w:val="clear" w:color="auto" w:fill="D9EAF7"/>
            <w:hideMark/>
          </w:tcPr>
          <w:p w14:paraId="5575380F" w14:textId="77777777" w:rsidR="00E3102C" w:rsidRDefault="00E3102C">
            <w:pPr>
              <w:spacing w:after="160"/>
              <w:cnfStyle w:val="000000000000" w:firstRow="0" w:lastRow="0" w:firstColumn="0" w:lastColumn="0" w:oddVBand="0" w:evenVBand="0" w:oddHBand="0" w:evenHBand="0" w:firstRowFirstColumn="0" w:firstRowLastColumn="0" w:lastRowFirstColumn="0" w:lastRowLastColumn="0"/>
              <w:rPr>
                <w:color w:val="000000"/>
              </w:rPr>
            </w:pPr>
            <w:r>
              <w:rPr>
                <w:color w:val="000000"/>
              </w:rPr>
              <w:t>LRE supports regional consistency through collaboration with CMHSP UM teams and a monthly Autism ROAT meeting used to share updates and address implementation concerns. LRE is also working to collect data related to the framework. In addition, a workgroup is being developed to create a standardized authorization form for use across CMHSPs.</w:t>
            </w:r>
          </w:p>
        </w:tc>
      </w:tr>
    </w:tbl>
    <w:p w14:paraId="5BEAB1C7" w14:textId="77777777" w:rsidR="00E3102C" w:rsidRDefault="00E3102C"/>
    <w:p w14:paraId="45A0894C" w14:textId="77777777" w:rsidR="00382543" w:rsidRDefault="00382543"/>
    <w:sectPr w:rsidR="00382543" w:rsidSect="00E3102C">
      <w:headerReference w:type="even" r:id="rId6"/>
      <w:headerReference w:type="default" r:id="rId7"/>
      <w:footerReference w:type="even" r:id="rId8"/>
      <w:footerReference w:type="default" r:id="rId9"/>
      <w:headerReference w:type="first" r:id="rId10"/>
      <w:footerReference w:type="first" r:id="rId11"/>
      <w:pgSz w:w="15840" w:h="122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3A790" w14:textId="77777777" w:rsidR="00684865" w:rsidRDefault="00684865" w:rsidP="004D6E47">
      <w:pPr>
        <w:spacing w:after="0" w:line="240" w:lineRule="auto"/>
      </w:pPr>
      <w:r>
        <w:separator/>
      </w:r>
    </w:p>
  </w:endnote>
  <w:endnote w:type="continuationSeparator" w:id="0">
    <w:p w14:paraId="177DA5E6" w14:textId="77777777" w:rsidR="00684865" w:rsidRDefault="00684865" w:rsidP="004D6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B868F" w14:textId="77777777" w:rsidR="004E6E55" w:rsidRDefault="004E6E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52AAD" w14:textId="77777777" w:rsidR="004E6E55" w:rsidRDefault="004E6E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DA060" w14:textId="77777777" w:rsidR="004E6E55" w:rsidRDefault="004E6E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61FCA" w14:textId="77777777" w:rsidR="00684865" w:rsidRDefault="00684865" w:rsidP="004D6E47">
      <w:pPr>
        <w:spacing w:after="0" w:line="240" w:lineRule="auto"/>
      </w:pPr>
      <w:r>
        <w:separator/>
      </w:r>
    </w:p>
  </w:footnote>
  <w:footnote w:type="continuationSeparator" w:id="0">
    <w:p w14:paraId="4263A24B" w14:textId="77777777" w:rsidR="00684865" w:rsidRDefault="00684865" w:rsidP="004D6E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F50E0" w14:textId="77777777" w:rsidR="004E6E55" w:rsidRDefault="004E6E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5F8C9" w14:textId="5614214E" w:rsidR="004D6E47" w:rsidRDefault="004D6E47" w:rsidP="004D6E47">
    <w:pPr>
      <w:pStyle w:val="Header"/>
    </w:pPr>
    <w:r>
      <w:rPr>
        <w:noProof/>
      </w:rPr>
      <w:drawing>
        <wp:inline distT="0" distB="0" distL="0" distR="0" wp14:anchorId="35EE8691" wp14:editId="052B04A1">
          <wp:extent cx="2049186" cy="486318"/>
          <wp:effectExtent l="0" t="0" r="0" b="0"/>
          <wp:docPr id="1472732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732864" name="Picture 1472732864"/>
                  <pic:cNvPicPr/>
                </pic:nvPicPr>
                <pic:blipFill>
                  <a:blip r:embed="rId1">
                    <a:extLst>
                      <a:ext uri="{28A0092B-C50C-407E-A947-70E740481C1C}">
                        <a14:useLocalDpi xmlns:a14="http://schemas.microsoft.com/office/drawing/2010/main" val="0"/>
                      </a:ext>
                    </a:extLst>
                  </a:blip>
                  <a:stretch>
                    <a:fillRect/>
                  </a:stretch>
                </pic:blipFill>
                <pic:spPr>
                  <a:xfrm>
                    <a:off x="0" y="0"/>
                    <a:ext cx="2049186" cy="486318"/>
                  </a:xfrm>
                  <a:prstGeom prst="rect">
                    <a:avLst/>
                  </a:prstGeom>
                </pic:spPr>
              </pic:pic>
            </a:graphicData>
          </a:graphic>
        </wp:inline>
      </w:drawing>
    </w:r>
    <w:r>
      <w:tab/>
    </w:r>
    <w:r>
      <w:tab/>
    </w:r>
    <w:r>
      <w:tab/>
    </w:r>
    <w:r>
      <w:tab/>
      <w:t>7/30/2026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1BB6B" w14:textId="77777777" w:rsidR="004E6E55" w:rsidRDefault="004E6E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543"/>
    <w:rsid w:val="00021B9D"/>
    <w:rsid w:val="0004085B"/>
    <w:rsid w:val="0008584E"/>
    <w:rsid w:val="000918D1"/>
    <w:rsid w:val="00094882"/>
    <w:rsid w:val="00153F4B"/>
    <w:rsid w:val="00167268"/>
    <w:rsid w:val="001A2E88"/>
    <w:rsid w:val="001B7743"/>
    <w:rsid w:val="001C3DBA"/>
    <w:rsid w:val="001C6580"/>
    <w:rsid w:val="001C6FC5"/>
    <w:rsid w:val="00242632"/>
    <w:rsid w:val="00260612"/>
    <w:rsid w:val="002618E8"/>
    <w:rsid w:val="00275374"/>
    <w:rsid w:val="00327B9D"/>
    <w:rsid w:val="00331752"/>
    <w:rsid w:val="003427DD"/>
    <w:rsid w:val="00344074"/>
    <w:rsid w:val="00382543"/>
    <w:rsid w:val="00395B53"/>
    <w:rsid w:val="003E1999"/>
    <w:rsid w:val="00401BBC"/>
    <w:rsid w:val="004176C3"/>
    <w:rsid w:val="00455DF4"/>
    <w:rsid w:val="00463E45"/>
    <w:rsid w:val="004853ED"/>
    <w:rsid w:val="00490A2A"/>
    <w:rsid w:val="004C3839"/>
    <w:rsid w:val="004C4B0D"/>
    <w:rsid w:val="004D6E47"/>
    <w:rsid w:val="004E6E55"/>
    <w:rsid w:val="004F55A2"/>
    <w:rsid w:val="00511F09"/>
    <w:rsid w:val="0054404F"/>
    <w:rsid w:val="005445ED"/>
    <w:rsid w:val="00575ABD"/>
    <w:rsid w:val="005B7779"/>
    <w:rsid w:val="0063348A"/>
    <w:rsid w:val="0064065C"/>
    <w:rsid w:val="00675DC4"/>
    <w:rsid w:val="00684865"/>
    <w:rsid w:val="006A6CF3"/>
    <w:rsid w:val="006F70D9"/>
    <w:rsid w:val="00736E29"/>
    <w:rsid w:val="007A6F98"/>
    <w:rsid w:val="007C5771"/>
    <w:rsid w:val="007F3F8D"/>
    <w:rsid w:val="007F4101"/>
    <w:rsid w:val="00847EE1"/>
    <w:rsid w:val="00872A9A"/>
    <w:rsid w:val="008A546E"/>
    <w:rsid w:val="008D7DE0"/>
    <w:rsid w:val="008F3ABA"/>
    <w:rsid w:val="008F778E"/>
    <w:rsid w:val="008F7793"/>
    <w:rsid w:val="00911D5F"/>
    <w:rsid w:val="00923B98"/>
    <w:rsid w:val="00937490"/>
    <w:rsid w:val="00986574"/>
    <w:rsid w:val="009923FB"/>
    <w:rsid w:val="009A3299"/>
    <w:rsid w:val="009A7878"/>
    <w:rsid w:val="009C2F8D"/>
    <w:rsid w:val="009C5535"/>
    <w:rsid w:val="00A12FB4"/>
    <w:rsid w:val="00A925E1"/>
    <w:rsid w:val="00A9502C"/>
    <w:rsid w:val="00AB0EA6"/>
    <w:rsid w:val="00AB3021"/>
    <w:rsid w:val="00AB570D"/>
    <w:rsid w:val="00AC4280"/>
    <w:rsid w:val="00AC475F"/>
    <w:rsid w:val="00AE36D0"/>
    <w:rsid w:val="00AF4FF5"/>
    <w:rsid w:val="00B24141"/>
    <w:rsid w:val="00B46717"/>
    <w:rsid w:val="00BB6A01"/>
    <w:rsid w:val="00BD7776"/>
    <w:rsid w:val="00C15CB3"/>
    <w:rsid w:val="00C31C87"/>
    <w:rsid w:val="00C3554E"/>
    <w:rsid w:val="00C54B18"/>
    <w:rsid w:val="00C7159E"/>
    <w:rsid w:val="00C81C7D"/>
    <w:rsid w:val="00C94F09"/>
    <w:rsid w:val="00CA4D9A"/>
    <w:rsid w:val="00CC44A0"/>
    <w:rsid w:val="00CD6679"/>
    <w:rsid w:val="00CF3F87"/>
    <w:rsid w:val="00D203F5"/>
    <w:rsid w:val="00D454FF"/>
    <w:rsid w:val="00DA055D"/>
    <w:rsid w:val="00DB509F"/>
    <w:rsid w:val="00E022E1"/>
    <w:rsid w:val="00E3102C"/>
    <w:rsid w:val="00E71C3E"/>
    <w:rsid w:val="00E967FC"/>
    <w:rsid w:val="00EC2412"/>
    <w:rsid w:val="00EC6C17"/>
    <w:rsid w:val="00FB430F"/>
    <w:rsid w:val="00FD7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84C96"/>
  <w15:chartTrackingRefBased/>
  <w15:docId w15:val="{6EB7D918-30A7-4AEF-A8DD-B6E3E65A2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25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25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25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25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25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25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25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25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25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25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25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25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25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25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25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25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25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2543"/>
    <w:rPr>
      <w:rFonts w:eastAsiaTheme="majorEastAsia" w:cstheme="majorBidi"/>
      <w:color w:val="272727" w:themeColor="text1" w:themeTint="D8"/>
    </w:rPr>
  </w:style>
  <w:style w:type="paragraph" w:styleId="Title">
    <w:name w:val="Title"/>
    <w:basedOn w:val="Normal"/>
    <w:next w:val="Normal"/>
    <w:link w:val="TitleChar"/>
    <w:uiPriority w:val="10"/>
    <w:qFormat/>
    <w:rsid w:val="003825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25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25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25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2543"/>
    <w:pPr>
      <w:spacing w:before="160"/>
      <w:jc w:val="center"/>
    </w:pPr>
    <w:rPr>
      <w:i/>
      <w:iCs/>
      <w:color w:val="404040" w:themeColor="text1" w:themeTint="BF"/>
    </w:rPr>
  </w:style>
  <w:style w:type="character" w:customStyle="1" w:styleId="QuoteChar">
    <w:name w:val="Quote Char"/>
    <w:basedOn w:val="DefaultParagraphFont"/>
    <w:link w:val="Quote"/>
    <w:uiPriority w:val="29"/>
    <w:rsid w:val="00382543"/>
    <w:rPr>
      <w:i/>
      <w:iCs/>
      <w:color w:val="404040" w:themeColor="text1" w:themeTint="BF"/>
    </w:rPr>
  </w:style>
  <w:style w:type="paragraph" w:styleId="ListParagraph">
    <w:name w:val="List Paragraph"/>
    <w:basedOn w:val="Normal"/>
    <w:uiPriority w:val="34"/>
    <w:qFormat/>
    <w:rsid w:val="00382543"/>
    <w:pPr>
      <w:ind w:left="720"/>
      <w:contextualSpacing/>
    </w:pPr>
  </w:style>
  <w:style w:type="character" w:styleId="IntenseEmphasis">
    <w:name w:val="Intense Emphasis"/>
    <w:basedOn w:val="DefaultParagraphFont"/>
    <w:uiPriority w:val="21"/>
    <w:qFormat/>
    <w:rsid w:val="00382543"/>
    <w:rPr>
      <w:i/>
      <w:iCs/>
      <w:color w:val="0F4761" w:themeColor="accent1" w:themeShade="BF"/>
    </w:rPr>
  </w:style>
  <w:style w:type="paragraph" w:styleId="IntenseQuote">
    <w:name w:val="Intense Quote"/>
    <w:basedOn w:val="Normal"/>
    <w:next w:val="Normal"/>
    <w:link w:val="IntenseQuoteChar"/>
    <w:uiPriority w:val="30"/>
    <w:qFormat/>
    <w:rsid w:val="003825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2543"/>
    <w:rPr>
      <w:i/>
      <w:iCs/>
      <w:color w:val="0F4761" w:themeColor="accent1" w:themeShade="BF"/>
    </w:rPr>
  </w:style>
  <w:style w:type="character" w:styleId="IntenseReference">
    <w:name w:val="Intense Reference"/>
    <w:basedOn w:val="DefaultParagraphFont"/>
    <w:uiPriority w:val="32"/>
    <w:qFormat/>
    <w:rsid w:val="00382543"/>
    <w:rPr>
      <w:b/>
      <w:bCs/>
      <w:smallCaps/>
      <w:color w:val="0F4761" w:themeColor="accent1" w:themeShade="BF"/>
      <w:spacing w:val="5"/>
    </w:rPr>
  </w:style>
  <w:style w:type="character" w:styleId="BookTitle">
    <w:name w:val="Book Title"/>
    <w:basedOn w:val="DefaultParagraphFont"/>
    <w:uiPriority w:val="33"/>
    <w:qFormat/>
    <w:rsid w:val="00382543"/>
    <w:rPr>
      <w:b/>
      <w:bCs/>
      <w:i/>
      <w:iCs/>
      <w:spacing w:val="5"/>
    </w:rPr>
  </w:style>
  <w:style w:type="paragraph" w:styleId="Caption">
    <w:name w:val="caption"/>
    <w:basedOn w:val="Normal"/>
    <w:next w:val="Normal"/>
    <w:uiPriority w:val="35"/>
    <w:semiHidden/>
    <w:unhideWhenUsed/>
    <w:qFormat/>
    <w:rsid w:val="00382543"/>
    <w:pPr>
      <w:spacing w:after="200" w:line="240" w:lineRule="auto"/>
    </w:pPr>
    <w:rPr>
      <w:i/>
      <w:iCs/>
      <w:color w:val="0E2841" w:themeColor="text2"/>
      <w:sz w:val="18"/>
      <w:szCs w:val="18"/>
    </w:rPr>
  </w:style>
  <w:style w:type="character" w:styleId="Emphasis">
    <w:name w:val="Emphasis"/>
    <w:basedOn w:val="DefaultParagraphFont"/>
    <w:uiPriority w:val="20"/>
    <w:qFormat/>
    <w:rsid w:val="00382543"/>
    <w:rPr>
      <w:i/>
      <w:iCs/>
    </w:rPr>
  </w:style>
  <w:style w:type="paragraph" w:styleId="NoSpacing">
    <w:name w:val="No Spacing"/>
    <w:uiPriority w:val="1"/>
    <w:qFormat/>
    <w:rsid w:val="00382543"/>
    <w:pPr>
      <w:spacing w:after="0" w:line="240" w:lineRule="auto"/>
    </w:pPr>
  </w:style>
  <w:style w:type="character" w:styleId="Strong">
    <w:name w:val="Strong"/>
    <w:basedOn w:val="DefaultParagraphFont"/>
    <w:uiPriority w:val="22"/>
    <w:qFormat/>
    <w:rsid w:val="00382543"/>
    <w:rPr>
      <w:b/>
      <w:bCs/>
    </w:rPr>
  </w:style>
  <w:style w:type="character" w:styleId="SubtleEmphasis">
    <w:name w:val="Subtle Emphasis"/>
    <w:basedOn w:val="DefaultParagraphFont"/>
    <w:uiPriority w:val="19"/>
    <w:qFormat/>
    <w:rsid w:val="00382543"/>
    <w:rPr>
      <w:i/>
      <w:iCs/>
      <w:color w:val="404040" w:themeColor="text1" w:themeTint="BF"/>
    </w:rPr>
  </w:style>
  <w:style w:type="character" w:styleId="SubtleReference">
    <w:name w:val="Subtle Reference"/>
    <w:basedOn w:val="DefaultParagraphFont"/>
    <w:uiPriority w:val="31"/>
    <w:qFormat/>
    <w:rsid w:val="00382543"/>
    <w:rPr>
      <w:smallCaps/>
      <w:color w:val="5A5A5A" w:themeColor="text1" w:themeTint="A5"/>
    </w:rPr>
  </w:style>
  <w:style w:type="paragraph" w:styleId="TOCHeading">
    <w:name w:val="TOC Heading"/>
    <w:basedOn w:val="Heading1"/>
    <w:next w:val="Normal"/>
    <w:uiPriority w:val="39"/>
    <w:semiHidden/>
    <w:unhideWhenUsed/>
    <w:qFormat/>
    <w:rsid w:val="00382543"/>
    <w:pPr>
      <w:spacing w:before="240" w:after="0"/>
      <w:outlineLvl w:val="9"/>
    </w:pPr>
    <w:rPr>
      <w:sz w:val="32"/>
      <w:szCs w:val="32"/>
    </w:rPr>
  </w:style>
  <w:style w:type="paragraph" w:styleId="NormalWeb">
    <w:name w:val="Normal (Web)"/>
    <w:basedOn w:val="Normal"/>
    <w:uiPriority w:val="99"/>
    <w:semiHidden/>
    <w:unhideWhenUsed/>
    <w:rsid w:val="00382543"/>
    <w:pPr>
      <w:spacing w:before="100" w:beforeAutospacing="1" w:after="100" w:afterAutospacing="1" w:line="240" w:lineRule="auto"/>
    </w:pPr>
    <w:rPr>
      <w:rFonts w:ascii="Times New Roman" w:hAnsi="Times New Roman" w:cs="Times New Roman"/>
    </w:rPr>
  </w:style>
  <w:style w:type="table" w:styleId="GridTable4-Accent1">
    <w:name w:val="Grid Table 4 Accent 1"/>
    <w:basedOn w:val="TableNormal"/>
    <w:uiPriority w:val="49"/>
    <w:rsid w:val="00E3102C"/>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basedOn w:val="Normal"/>
    <w:link w:val="HeaderChar"/>
    <w:uiPriority w:val="99"/>
    <w:unhideWhenUsed/>
    <w:rsid w:val="004D6E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6E47"/>
  </w:style>
  <w:style w:type="paragraph" w:styleId="Footer">
    <w:name w:val="footer"/>
    <w:basedOn w:val="Normal"/>
    <w:link w:val="FooterChar"/>
    <w:uiPriority w:val="99"/>
    <w:unhideWhenUsed/>
    <w:rsid w:val="004D6E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6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9</Pages>
  <Words>2685</Words>
  <Characters>15767</Characters>
  <Application>Microsoft Office Word</Application>
  <DocSecurity>0</DocSecurity>
  <Lines>328</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Reterstoff</dc:creator>
  <cp:keywords/>
  <dc:description/>
  <cp:lastModifiedBy>Sara Reterstoff</cp:lastModifiedBy>
  <cp:revision>7</cp:revision>
  <dcterms:created xsi:type="dcterms:W3CDTF">2026-07-31T18:54:00Z</dcterms:created>
  <dcterms:modified xsi:type="dcterms:W3CDTF">2026-07-31T19:55:00Z</dcterms:modified>
</cp:coreProperties>
</file>