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7"/>
        <w:gridCol w:w="3797"/>
        <w:gridCol w:w="1606"/>
        <w:gridCol w:w="3330"/>
        <w:gridCol w:w="3870"/>
      </w:tblGrid>
      <w:tr w:rsidR="00FC577F" w:rsidRPr="009B1D6D" w14:paraId="23884431" w14:textId="77777777" w:rsidTr="00635003">
        <w:trPr>
          <w:tblHeader/>
        </w:trPr>
        <w:tc>
          <w:tcPr>
            <w:tcW w:w="14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65D423" w14:textId="0242BCE5" w:rsidR="00FC577F" w:rsidRPr="009B1D6D" w:rsidRDefault="00D03D03" w:rsidP="00E25D4B">
            <w:pPr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Standard I</w:t>
            </w:r>
            <w:r w:rsidR="00F32DBE"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 Emergency and Post-Stabilization Services</w:t>
            </w:r>
          </w:p>
        </w:tc>
      </w:tr>
      <w:tr w:rsidR="00E25D4B" w:rsidRPr="009B1D6D" w14:paraId="6C2AF3EA" w14:textId="77777777" w:rsidTr="00635003">
        <w:trPr>
          <w:tblHeader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B44EDA4" w14:textId="53962FF7" w:rsidR="00E25D4B" w:rsidRPr="009B1D6D" w:rsidRDefault="00E25D4B" w:rsidP="00AB261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E5D7BA1" w14:textId="43BAFB5C" w:rsidR="00E25D4B" w:rsidRPr="009B1D6D" w:rsidRDefault="00E25D4B" w:rsidP="00AB2612">
            <w:pPr>
              <w:jc w:val="center"/>
              <w:rPr>
                <w:rFonts w:eastAsia="Calibri" w:cstheme="minorHAnsi"/>
                <w:sz w:val="24"/>
                <w:szCs w:val="24"/>
                <w:highlight w:val="green"/>
              </w:rPr>
            </w:pPr>
            <w:r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Standard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35C9B2A" w14:textId="7749D016" w:rsidR="00E25D4B" w:rsidRPr="009B1D6D" w:rsidRDefault="00E25D4B" w:rsidP="00AB261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Basis Source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2B985A2" w14:textId="5FBBCF88" w:rsidR="00E25D4B" w:rsidRPr="009B1D6D" w:rsidRDefault="00E25D4B" w:rsidP="00AB261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Evidence of Compliance could include: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248567E" w14:textId="30091BBA" w:rsidR="00E25D4B" w:rsidRPr="009B1D6D" w:rsidRDefault="00E25D4B" w:rsidP="00AB261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 xml:space="preserve">Provider to Complete: </w:t>
            </w:r>
            <w:r w:rsidRPr="009B1D6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List evidence provided and location of evidence for specific standard i.e., page number if applicable</w:t>
            </w:r>
          </w:p>
        </w:tc>
      </w:tr>
      <w:tr w:rsidR="00AB2612" w:rsidRPr="009B1D6D" w14:paraId="4007BD4F" w14:textId="77777777" w:rsidTr="00635003">
        <w:tc>
          <w:tcPr>
            <w:tcW w:w="14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9B7" w14:textId="3277198F" w:rsidR="00AB2612" w:rsidRPr="009B1D6D" w:rsidRDefault="00836E29" w:rsidP="00E25D4B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B1D6D">
              <w:rPr>
                <w:rFonts w:eastAsia="Calibri" w:cstheme="minorHAnsi"/>
                <w:b/>
                <w:bCs/>
                <w:sz w:val="24"/>
                <w:szCs w:val="24"/>
              </w:rPr>
              <w:t>Definitions:</w:t>
            </w:r>
          </w:p>
        </w:tc>
      </w:tr>
      <w:tr w:rsidR="00E80B56" w:rsidRPr="009B1D6D" w14:paraId="40860E36" w14:textId="77777777" w:rsidTr="00DD7F64">
        <w:tc>
          <w:tcPr>
            <w:tcW w:w="1797" w:type="dxa"/>
          </w:tcPr>
          <w:p w14:paraId="4A531BA8" w14:textId="42DE56E2" w:rsidR="00E80B56" w:rsidRPr="009B1D6D" w:rsidRDefault="00E80B56" w:rsidP="00E80B56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14:paraId="389F59FE" w14:textId="376092E2" w:rsidR="00E80B56" w:rsidRPr="009B1D6D" w:rsidRDefault="00E80B56" w:rsidP="00E80B56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defines “emergency medical condition” as a medical condition manifesting itself by acute symptoms of sufficient severity, including severe pain, that a prudent layperson with an average knowledge of health and medicine could reasonably expect the absence of immediate medical attention to result in: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A) placing the health of the individual in serious jeopardy;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B) serious impairment to bodily functions; or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C) serious dysfunction of any bodily organ or part. For behavioral health, this applies to emergency behavioral health conditions within the CMHSP’s delegated scope.</w:t>
            </w:r>
          </w:p>
        </w:tc>
        <w:tc>
          <w:tcPr>
            <w:tcW w:w="1606" w:type="dxa"/>
          </w:tcPr>
          <w:p w14:paraId="544C37C5" w14:textId="1DA85AF8" w:rsidR="00E80B56" w:rsidRPr="009B1D6D" w:rsidRDefault="00E80B56" w:rsidP="00E80B56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438.114(a)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457.1228</w:t>
            </w:r>
          </w:p>
        </w:tc>
        <w:tc>
          <w:tcPr>
            <w:tcW w:w="3330" w:type="dxa"/>
          </w:tcPr>
          <w:p w14:paraId="0B0459E2" w14:textId="1E079632" w:rsidR="00E80B56" w:rsidRPr="009B1D6D" w:rsidRDefault="00E80B56" w:rsidP="00E80B56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policy/procedure defining emergency medical </w:t>
            </w:r>
            <w:proofErr w:type="gramStart"/>
            <w:r w:rsidRPr="009B1D6D">
              <w:rPr>
                <w:rFonts w:ascii="Calibri" w:eastAsia="Calibri" w:hAnsi="Calibri"/>
                <w:sz w:val="24"/>
                <w:szCs w:val="24"/>
              </w:rPr>
              <w:t>condition</w:t>
            </w:r>
            <w:proofErr w:type="gramEnd"/>
            <w:r w:rsidRPr="009B1D6D">
              <w:rPr>
                <w:rFonts w:ascii="Calibri" w:eastAsia="Calibri" w:hAnsi="Calibri"/>
                <w:sz w:val="24"/>
                <w:szCs w:val="24"/>
              </w:rPr>
              <w:t>; crisis/emergency service manual; member handbook/guide to services; provider manual or access materials; staff training materials; definition crosswalk to LRE Policy 5.17 and federal/state language; evidence the definition is used in local crisis, access, prescreening, and authorization workflows.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B4C" w14:textId="4C3F9B20" w:rsidR="00E80B56" w:rsidRPr="009B1D6D" w:rsidRDefault="00E80B56" w:rsidP="00E80B56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C42EE" w:rsidRPr="009B1D6D" w14:paraId="56D15B6A" w14:textId="77777777" w:rsidTr="006649C2">
        <w:tc>
          <w:tcPr>
            <w:tcW w:w="1797" w:type="dxa"/>
          </w:tcPr>
          <w:p w14:paraId="551DBE4E" w14:textId="4168F3E9" w:rsidR="004C42EE" w:rsidRPr="009B1D6D" w:rsidRDefault="004C42EE" w:rsidP="004C42EE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3797" w:type="dxa"/>
          </w:tcPr>
          <w:p w14:paraId="711A877B" w14:textId="3625E84E" w:rsidR="004C42EE" w:rsidRPr="009B1D6D" w:rsidRDefault="004C42EE" w:rsidP="004C42EE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defines “emergency services” as covered inpatient and outpatient services that are: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A) furnished by a provider qualified to furnish the services; and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B) needed to evaluate or stabilize an emergency medical or emergency behavioral health condition. CMHSP identifies preadmission screening as a covered emergency service and has a process to provide inpatient prescreening services 24 hours per day, 7 days per week.</w:t>
            </w:r>
          </w:p>
        </w:tc>
        <w:tc>
          <w:tcPr>
            <w:tcW w:w="1606" w:type="dxa"/>
          </w:tcPr>
          <w:p w14:paraId="21CC6F06" w14:textId="3053D0B6" w:rsidR="004C42EE" w:rsidRPr="009B1D6D" w:rsidRDefault="004C42EE" w:rsidP="004C42EE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438.114(a)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457.1228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MDHHS 9/26/2024 Memo</w:t>
            </w:r>
          </w:p>
        </w:tc>
        <w:tc>
          <w:tcPr>
            <w:tcW w:w="3330" w:type="dxa"/>
          </w:tcPr>
          <w:p w14:paraId="3ACBFE0A" w14:textId="6B730D13" w:rsidR="004C42EE" w:rsidRPr="009B1D6D" w:rsidRDefault="004C42EE" w:rsidP="004C42EE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emergency services policy/procedure; preadmission screening policy and workflow; 24/7 access/crisis coverage schedule; staff role/credentialing documentation; crisis line procedures; member and provider materials describing emergency access; prescreening examples, if applicable during the review timeframe; MMBPIS Indicator #1 reports; evidence that preadmission screening is listed as a standalone emergency service.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9CB3" w14:textId="77777777" w:rsidR="004C42EE" w:rsidRPr="009B1D6D" w:rsidRDefault="004C42EE" w:rsidP="004C42EE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41FB3" w:rsidRPr="009B1D6D" w14:paraId="767CBA79" w14:textId="77777777" w:rsidTr="00090C6E">
        <w:tc>
          <w:tcPr>
            <w:tcW w:w="1797" w:type="dxa"/>
          </w:tcPr>
          <w:p w14:paraId="0FFF0916" w14:textId="2EC7576A" w:rsidR="00341FB3" w:rsidRPr="009B1D6D" w:rsidRDefault="00341FB3" w:rsidP="00341FB3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14:paraId="460C54E1" w14:textId="07BABCCD" w:rsidR="00341FB3" w:rsidRPr="009B1D6D" w:rsidRDefault="00341FB3" w:rsidP="00341FB3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defines “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 services” as covered services related to an emergency medical or behavioral health condition that are provided after the member is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stabilized to: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A) maintain the stabilized condition; or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B) under the circumstances described in federal rule, improve or resolve the member’s condition.</w:t>
            </w:r>
          </w:p>
        </w:tc>
        <w:tc>
          <w:tcPr>
            <w:tcW w:w="1606" w:type="dxa"/>
          </w:tcPr>
          <w:p w14:paraId="622104F1" w14:textId="1D4B8213" w:rsidR="00341FB3" w:rsidRPr="009B1D6D" w:rsidRDefault="00341FB3" w:rsidP="00341FB3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42 CFR 438.114(a)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438.114(e)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42 CFR 457.1228</w:t>
            </w:r>
          </w:p>
        </w:tc>
        <w:tc>
          <w:tcPr>
            <w:tcW w:w="3330" w:type="dxa"/>
          </w:tcPr>
          <w:p w14:paraId="27C77D26" w14:textId="7D19B9E8" w:rsidR="00341FB3" w:rsidRPr="009B1D6D" w:rsidRDefault="00341FB3" w:rsidP="00341FB3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CMHSP policy/procedure defining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 services; provider materials explaining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authorization; member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handbook language;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workflow; transition/discharge planning examples, if applicable during the review timeframe; authorization or certification records, if applicable during the review timeframe; care coordination notes; case examples showing services provided to maintain, improve, or resolve a stabilized condition, if applicable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EE5A" w14:textId="77777777" w:rsidR="00341FB3" w:rsidRPr="009B1D6D" w:rsidRDefault="00341FB3" w:rsidP="00341FB3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83A93" w:rsidRPr="009B1D6D" w14:paraId="6D829F68" w14:textId="77777777" w:rsidTr="00222EE1">
        <w:tc>
          <w:tcPr>
            <w:tcW w:w="14400" w:type="dxa"/>
            <w:gridSpan w:val="5"/>
            <w:tcBorders>
              <w:right w:val="single" w:sz="4" w:space="0" w:color="auto"/>
            </w:tcBorders>
          </w:tcPr>
          <w:p w14:paraId="103C1F1F" w14:textId="0201A304" w:rsidR="00683A93" w:rsidRPr="009B1D6D" w:rsidRDefault="0098238B" w:rsidP="00341FB3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B1D6D">
              <w:rPr>
                <w:rFonts w:eastAsia="Calibri" w:cstheme="minorHAnsi"/>
                <w:b/>
                <w:bCs/>
                <w:sz w:val="24"/>
                <w:szCs w:val="24"/>
              </w:rPr>
              <w:t>Coverage and Payment of Emergency Services:</w:t>
            </w:r>
          </w:p>
        </w:tc>
      </w:tr>
      <w:tr w:rsidR="00856EAF" w:rsidRPr="009B1D6D" w14:paraId="73CC765F" w14:textId="77777777" w:rsidTr="009E6173">
        <w:trPr>
          <w:trHeight w:val="935"/>
        </w:trPr>
        <w:tc>
          <w:tcPr>
            <w:tcW w:w="1797" w:type="dxa"/>
          </w:tcPr>
          <w:p w14:paraId="4CFA87A8" w14:textId="095CBE86" w:rsidR="00856EAF" w:rsidRPr="009B1D6D" w:rsidRDefault="00856EAF" w:rsidP="00856EAF">
            <w:pPr>
              <w:pStyle w:val="ListParagraph"/>
              <w:ind w:left="0"/>
              <w:rPr>
                <w:rFonts w:asciiTheme="minorHAnsi" w:eastAsia="Calibri" w:hAnsiTheme="minorHAnsi" w:cstheme="minorHAnsi"/>
              </w:rPr>
            </w:pPr>
            <w:r w:rsidRPr="009B1D6D">
              <w:rPr>
                <w:rFonts w:ascii="Calibri" w:eastAsia="Calibri" w:hAnsi="Calibri"/>
              </w:rPr>
              <w:t>4</w:t>
            </w:r>
          </w:p>
        </w:tc>
        <w:tc>
          <w:tcPr>
            <w:tcW w:w="3797" w:type="dxa"/>
          </w:tcPr>
          <w:p w14:paraId="423316AA" w14:textId="65DCDC0F" w:rsidR="00856EAF" w:rsidRPr="009B1D6D" w:rsidRDefault="00856EAF" w:rsidP="00856EAF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processes support coverage and payment of emergency services regardless of whether the provider is contracted or out-of-network, consistent with delegated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responsibility for claims/payment of emergency services.</w:t>
            </w:r>
          </w:p>
        </w:tc>
        <w:tc>
          <w:tcPr>
            <w:tcW w:w="1606" w:type="dxa"/>
          </w:tcPr>
          <w:p w14:paraId="3CF96168" w14:textId="5AF0901D" w:rsidR="00856EAF" w:rsidRPr="009B1D6D" w:rsidRDefault="00856EAF" w:rsidP="00856EAF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42 CFR 438.114(c)-(d)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422.214</w:t>
            </w:r>
          </w:p>
        </w:tc>
        <w:tc>
          <w:tcPr>
            <w:tcW w:w="3330" w:type="dxa"/>
          </w:tcPr>
          <w:p w14:paraId="461AB0F7" w14:textId="6FCF04D8" w:rsidR="00856EAF" w:rsidRPr="009B1D6D" w:rsidRDefault="00856EAF" w:rsidP="00856EAF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claims/payment policy; emergency service payment workflow; claim adjudication rules; contract or single case agreement process; paid emergency claim examples, if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applicable during the review timeframe; out-of-network examples, if applicable during the review timeframe; encounter/claim documentation; denial review process; payment monitoring reports; provider communication showing emergency services are covered regardless of network status.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9F0" w14:textId="77777777" w:rsidR="00856EAF" w:rsidRPr="009B1D6D" w:rsidRDefault="00856EAF" w:rsidP="00856EAF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D143B" w:rsidRPr="009B1D6D" w14:paraId="27AF5F36" w14:textId="77777777" w:rsidTr="009C2970">
        <w:tc>
          <w:tcPr>
            <w:tcW w:w="1797" w:type="dxa"/>
          </w:tcPr>
          <w:p w14:paraId="2D54140A" w14:textId="1E8F7F37" w:rsidR="006D143B" w:rsidRPr="009B1D6D" w:rsidRDefault="006D143B" w:rsidP="006D143B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14:paraId="0D917DEE" w14:textId="3DA8A148" w:rsidR="006D143B" w:rsidRPr="009B1D6D" w:rsidRDefault="006D143B" w:rsidP="006D143B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policies and member/provider materials state that prior authorization is not required for emergency services, including emergency screening and services needed to evaluate or stabilize the emergency condition.</w:t>
            </w:r>
          </w:p>
        </w:tc>
        <w:tc>
          <w:tcPr>
            <w:tcW w:w="1606" w:type="dxa"/>
          </w:tcPr>
          <w:p w14:paraId="2198D314" w14:textId="79C09C05" w:rsidR="006D143B" w:rsidRPr="009B1D6D" w:rsidRDefault="006D143B" w:rsidP="006D143B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438.114(d)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438.10</w:t>
            </w:r>
          </w:p>
        </w:tc>
        <w:tc>
          <w:tcPr>
            <w:tcW w:w="3330" w:type="dxa"/>
          </w:tcPr>
          <w:p w14:paraId="7EE661E8" w14:textId="26A58827" w:rsidR="006D143B" w:rsidRPr="009B1D6D" w:rsidRDefault="006D143B" w:rsidP="006D143B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emergency services policy/procedure stating no prior authorization is required; consumer handbook/guide to services; website or crisis line materials; provider manual/materials; staff training; call center scripts; case examples showing emergency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screening/evaluation and stabilization occurred without prior authorization, if applicable during the review timeframe; internal audit results confirming no prior authorization barrier, if conducted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F199" w14:textId="77777777" w:rsidR="006D143B" w:rsidRPr="009B1D6D" w:rsidRDefault="006D143B" w:rsidP="006D143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62771" w:rsidRPr="009B1D6D" w14:paraId="4B69AC23" w14:textId="77777777" w:rsidTr="00E13092">
        <w:tc>
          <w:tcPr>
            <w:tcW w:w="1797" w:type="dxa"/>
          </w:tcPr>
          <w:p w14:paraId="7E46CBE8" w14:textId="3F7FF678" w:rsidR="00D62771" w:rsidRPr="009B1D6D" w:rsidRDefault="00D62771" w:rsidP="00D62771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14:paraId="7D09838E" w14:textId="68BCC735" w:rsidR="00D62771" w:rsidRPr="009B1D6D" w:rsidRDefault="00D62771" w:rsidP="00D62771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processes prohibit denial of payment for emergency services based solely on: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A) limiting what constitutes an emergency medical condition by reference to lists of diagnoses or symptoms;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B) refusal to cover emergency services because the emergency room provider, hospital, or fiscal agent did not notify the member’s primary care provider, CMHSP/PIHP, or MDHHS within 10 calendar days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of presentation for emergency services; or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C) holding the member liable for subsequent screening and treatment needed to diagnose the specific condition or stabilize the member.</w:t>
            </w:r>
          </w:p>
        </w:tc>
        <w:tc>
          <w:tcPr>
            <w:tcW w:w="1606" w:type="dxa"/>
          </w:tcPr>
          <w:p w14:paraId="7108DD96" w14:textId="1F10E3CB" w:rsidR="00D62771" w:rsidRPr="009B1D6D" w:rsidRDefault="00D62771" w:rsidP="00D62771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42 CFR 438.114(d)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422.214</w:t>
            </w:r>
          </w:p>
        </w:tc>
        <w:tc>
          <w:tcPr>
            <w:tcW w:w="3330" w:type="dxa"/>
          </w:tcPr>
          <w:p w14:paraId="7C29BF32" w14:textId="1C941374" w:rsidR="00D62771" w:rsidRPr="009B1D6D" w:rsidRDefault="00D62771" w:rsidP="00D62771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claims/payment policy; denial review procedure; claim adjudication logic or billing guidance; sample paid and denied emergency claims, if applicable during the review timeframe; documentation showing denials are not based solely on diagnosis/symptom lists or lack of 10-day notice; member billing protections; examples showing Medicaid enrollees were not billed for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emergency screening or stabilization, if applicable during the review timeframe; staff/provider training.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DD2B" w14:textId="77777777" w:rsidR="00D62771" w:rsidRPr="009B1D6D" w:rsidRDefault="00D62771" w:rsidP="00D62771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27BD7" w:rsidRPr="009B1D6D" w14:paraId="7D367FD1" w14:textId="77777777" w:rsidTr="00B60712">
        <w:tc>
          <w:tcPr>
            <w:tcW w:w="1797" w:type="dxa"/>
          </w:tcPr>
          <w:p w14:paraId="71DC1205" w14:textId="03CDB9DA" w:rsidR="00727BD7" w:rsidRPr="009B1D6D" w:rsidRDefault="00727BD7" w:rsidP="00727BD7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14:paraId="22AC32F1" w14:textId="1DD8E654" w:rsidR="00727BD7" w:rsidRPr="009B1D6D" w:rsidRDefault="00727BD7" w:rsidP="00727BD7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procedures describe how emergency service coverage and payment requirements are operationalized for emergency room, hospital, crisis, community-based, and out-of-network emergency service settings, including use of single case agreements when applicable.</w:t>
            </w:r>
          </w:p>
        </w:tc>
        <w:tc>
          <w:tcPr>
            <w:tcW w:w="1606" w:type="dxa"/>
          </w:tcPr>
          <w:p w14:paraId="432B1B65" w14:textId="6169A4E4" w:rsidR="00727BD7" w:rsidRPr="009B1D6D" w:rsidRDefault="00727BD7" w:rsidP="00727BD7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438.114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MDHHS/PIHP Contract</w:t>
            </w:r>
          </w:p>
        </w:tc>
        <w:tc>
          <w:tcPr>
            <w:tcW w:w="3330" w:type="dxa"/>
          </w:tcPr>
          <w:p w14:paraId="67C6D558" w14:textId="4BE42946" w:rsidR="00727BD7" w:rsidRPr="009B1D6D" w:rsidRDefault="00727BD7" w:rsidP="00727BD7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emergency service workflow; hospital/emergency department coordination procedures; crisis response protocols; claims/payment workflow; out-of-network provider payment process; single case agreement template and examples, if applicable during the review timeframe; emergency service claim/encounter monitoring; internal review of paid and denied claims, if conducted during the review timeframe;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corrective action or training, if gaps are identified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F256" w14:textId="77777777" w:rsidR="00727BD7" w:rsidRPr="009B1D6D" w:rsidRDefault="00727BD7" w:rsidP="00727BD7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00A2B" w:rsidRPr="009B1D6D" w14:paraId="6BAA1A54" w14:textId="77777777" w:rsidTr="003A0740">
        <w:tc>
          <w:tcPr>
            <w:tcW w:w="1797" w:type="dxa"/>
          </w:tcPr>
          <w:p w14:paraId="26A9868B" w14:textId="69A611BA" w:rsidR="00400A2B" w:rsidRPr="009B1D6D" w:rsidRDefault="00400A2B" w:rsidP="00400A2B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14:paraId="509B5897" w14:textId="42FD486B" w:rsidR="00400A2B" w:rsidRPr="009B1D6D" w:rsidRDefault="00400A2B" w:rsidP="00400A2B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recognizes that the attending emergency physician or treating provider determines when the member is sufficiently stabilized for transfer or discharge, and that determination is binding for coverage/payment purposes.</w:t>
            </w:r>
          </w:p>
        </w:tc>
        <w:tc>
          <w:tcPr>
            <w:tcW w:w="1606" w:type="dxa"/>
          </w:tcPr>
          <w:p w14:paraId="72A26761" w14:textId="0C7FC212" w:rsidR="00400A2B" w:rsidRPr="009B1D6D" w:rsidRDefault="00400A2B" w:rsidP="00400A2B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438.114(d)(3)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457.1228</w:t>
            </w:r>
          </w:p>
        </w:tc>
        <w:tc>
          <w:tcPr>
            <w:tcW w:w="3330" w:type="dxa"/>
          </w:tcPr>
          <w:p w14:paraId="5B64DBDD" w14:textId="1889942E" w:rsidR="00400A2B" w:rsidRPr="009B1D6D" w:rsidRDefault="00400A2B" w:rsidP="00400A2B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policy/procedure recognizing treating provider stabilization determination; hospital/emergency department communication process; provider education materials; case examples documenting stabilization determination by the attending emergency physician or treating provider, if applicable during the review timeframe; transfer/discharge documentation, if applicable during the review timeframe; peer-to-peer or clinical consultation notes, if applicable during the review timeframe; claim review examples tied to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stabilization determination, if applicable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8F37" w14:textId="77777777" w:rsidR="00400A2B" w:rsidRPr="009B1D6D" w:rsidRDefault="00400A2B" w:rsidP="00400A2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00A2B" w:rsidRPr="009B1D6D" w14:paraId="7981B863" w14:textId="77777777" w:rsidTr="0058007A">
        <w:tc>
          <w:tcPr>
            <w:tcW w:w="14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00E1" w14:textId="7784011A" w:rsidR="00400A2B" w:rsidRPr="009B1D6D" w:rsidRDefault="00F12237" w:rsidP="00564A58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B1D6D">
              <w:rPr>
                <w:rFonts w:cstheme="minorHAnsi"/>
                <w:b/>
                <w:bCs/>
                <w:sz w:val="24"/>
                <w:szCs w:val="24"/>
              </w:rPr>
              <w:t xml:space="preserve">Coverage and Payment of </w:t>
            </w:r>
            <w:proofErr w:type="spellStart"/>
            <w:r w:rsidRPr="009B1D6D">
              <w:rPr>
                <w:rFonts w:cstheme="minorHAnsi"/>
                <w:b/>
                <w:bCs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cstheme="minorHAnsi"/>
                <w:b/>
                <w:bCs/>
                <w:sz w:val="24"/>
                <w:szCs w:val="24"/>
              </w:rPr>
              <w:t xml:space="preserve"> Care Services:</w:t>
            </w:r>
          </w:p>
        </w:tc>
      </w:tr>
      <w:tr w:rsidR="005130CB" w:rsidRPr="009B1D6D" w14:paraId="3A214B19" w14:textId="77777777" w:rsidTr="00F22B25">
        <w:tc>
          <w:tcPr>
            <w:tcW w:w="1797" w:type="dxa"/>
          </w:tcPr>
          <w:p w14:paraId="3EAA3C7C" w14:textId="7B19D9F8" w:rsidR="005130CB" w:rsidRPr="009B1D6D" w:rsidRDefault="005130CB" w:rsidP="005130CB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14:paraId="473BD89E" w14:textId="0F1F9A30" w:rsidR="005130CB" w:rsidRPr="009B1D6D" w:rsidRDefault="005130CB" w:rsidP="005130CB">
            <w:pPr>
              <w:ind w:left="720"/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processes support financial responsibility for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 services obtained within or outside the network when services are pre-approved by the CMHSP or </w:t>
            </w:r>
            <w:proofErr w:type="gramStart"/>
            <w:r w:rsidRPr="009B1D6D">
              <w:rPr>
                <w:rFonts w:ascii="Calibri" w:eastAsia="Calibri" w:hAnsi="Calibri"/>
                <w:sz w:val="24"/>
                <w:szCs w:val="24"/>
              </w:rPr>
              <w:t>other</w:t>
            </w:r>
            <w:proofErr w:type="gram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authorized representative.</w:t>
            </w:r>
          </w:p>
        </w:tc>
        <w:tc>
          <w:tcPr>
            <w:tcW w:w="1606" w:type="dxa"/>
          </w:tcPr>
          <w:p w14:paraId="2869525E" w14:textId="01FFA6F3" w:rsidR="005130CB" w:rsidRPr="009B1D6D" w:rsidRDefault="005130CB" w:rsidP="005130CB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422.113(c)(2)(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i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>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438.114(e)</w:t>
            </w:r>
          </w:p>
        </w:tc>
        <w:tc>
          <w:tcPr>
            <w:tcW w:w="3330" w:type="dxa"/>
          </w:tcPr>
          <w:p w14:paraId="6B89AB4D" w14:textId="6D5A9685" w:rsidR="005130CB" w:rsidRPr="009B1D6D" w:rsidRDefault="005130CB" w:rsidP="005130CB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authorization policy; pre-approval workflow; authorization/certification records, if applicable during the review timeframe; provider request logs, if applicable during the review timeframe; approval documentation, if applicable during the review timeframe; paid claim examples for approved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care, if applicable during the review timeframe; out-of-network or single case agreement examples, if applicable during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the review timeframe; provider communication; documentation linking the service to the stabilized emergency condition, if applicable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9EF" w14:textId="14EE071A" w:rsidR="005130CB" w:rsidRPr="009B1D6D" w:rsidRDefault="005130CB" w:rsidP="005130C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0048D" w:rsidRPr="009B1D6D" w14:paraId="134F5CE3" w14:textId="77777777" w:rsidTr="00C41401">
        <w:tc>
          <w:tcPr>
            <w:tcW w:w="1797" w:type="dxa"/>
          </w:tcPr>
          <w:p w14:paraId="7B0F85AD" w14:textId="338F3CC1" w:rsidR="0000048D" w:rsidRPr="009B1D6D" w:rsidRDefault="0000048D" w:rsidP="0000048D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14:paraId="1D8829D2" w14:textId="2B44307A" w:rsidR="0000048D" w:rsidRPr="009B1D6D" w:rsidRDefault="0000048D" w:rsidP="0000048D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has a process for timely pre-approval of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 services administered to maintain, improve, or resolve the member’s stabilized condition, including documentation of request time, response time, and authorization decision.</w:t>
            </w:r>
          </w:p>
        </w:tc>
        <w:tc>
          <w:tcPr>
            <w:tcW w:w="1606" w:type="dxa"/>
          </w:tcPr>
          <w:p w14:paraId="0BB92D64" w14:textId="3425E38B" w:rsidR="0000048D" w:rsidRPr="009B1D6D" w:rsidRDefault="0000048D" w:rsidP="0000048D">
            <w:pPr>
              <w:rPr>
                <w:rFonts w:eastAsia="Calibri"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422.113(c)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438.114(e)</w:t>
            </w:r>
          </w:p>
        </w:tc>
        <w:tc>
          <w:tcPr>
            <w:tcW w:w="3330" w:type="dxa"/>
          </w:tcPr>
          <w:p w14:paraId="5A0F0F79" w14:textId="3A66C99C" w:rsidR="0000048D" w:rsidRPr="009B1D6D" w:rsidRDefault="0000048D" w:rsidP="0000048D">
            <w:pPr>
              <w:rPr>
                <w:rFonts w:cstheme="minorHAns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request review workflow; authorization/certification examples, if applicable during the review timeframe; call logs, if applicable during the review timeframe; request and response time documentation, if applicable during the review timeframe; clinical review notes; care coordination and discharge planning documentation, if applicable during the review timeframe; examples of services used to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maintain, improve, or resolve the stabilized condition, if applicable during the review timeframe; internal monitoring of response timeliness, if conducted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6D00" w14:textId="4CC424A7" w:rsidR="0000048D" w:rsidRPr="009B1D6D" w:rsidRDefault="0000048D" w:rsidP="0000048D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940C6" w:rsidRPr="009B1D6D" w14:paraId="5E3ACA01" w14:textId="77777777" w:rsidTr="00C24CAE">
        <w:tc>
          <w:tcPr>
            <w:tcW w:w="1797" w:type="dxa"/>
          </w:tcPr>
          <w:p w14:paraId="6F45D43F" w14:textId="285EF3DA" w:rsidR="00F940C6" w:rsidRPr="009B1D6D" w:rsidRDefault="00F940C6" w:rsidP="00F940C6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14:paraId="4569E760" w14:textId="529765FB" w:rsidR="00F940C6" w:rsidRPr="009B1D6D" w:rsidRDefault="00F940C6" w:rsidP="00F940C6">
            <w:pPr>
              <w:pStyle w:val="ListParagraph"/>
              <w:ind w:left="0"/>
              <w:rPr>
                <w:rFonts w:ascii="Calibri" w:eastAsia="Calibri" w:hAnsi="Calibri" w:cs="Calibri"/>
              </w:rPr>
            </w:pPr>
            <w:r w:rsidRPr="009B1D6D">
              <w:rPr>
                <w:rFonts w:ascii="Calibri" w:eastAsia="Calibri" w:hAnsi="Calibri"/>
              </w:rPr>
              <w:t xml:space="preserve">CMHSP processes support financial responsibility for </w:t>
            </w:r>
            <w:proofErr w:type="spellStart"/>
            <w:r w:rsidRPr="009B1D6D">
              <w:rPr>
                <w:rFonts w:ascii="Calibri" w:eastAsia="Calibri" w:hAnsi="Calibri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</w:rPr>
              <w:t xml:space="preserve"> care services obtained within or outside the network that are not pre-approved but are administered to maintain, improve, or resolve the stabilized condition if:</w:t>
            </w:r>
            <w:r w:rsidRPr="009B1D6D">
              <w:br/>
            </w:r>
            <w:r w:rsidRPr="009B1D6D">
              <w:rPr>
                <w:rFonts w:ascii="Calibri" w:eastAsia="Calibri" w:hAnsi="Calibri"/>
              </w:rPr>
              <w:t>A) the CMHSP does not respond to a pre-approval request within one hour;</w:t>
            </w:r>
            <w:r w:rsidRPr="009B1D6D">
              <w:br/>
            </w:r>
            <w:r w:rsidRPr="009B1D6D">
              <w:rPr>
                <w:rFonts w:ascii="Calibri" w:eastAsia="Calibri" w:hAnsi="Calibri"/>
              </w:rPr>
              <w:t>B) the CMHSP cannot be contacted; or</w:t>
            </w:r>
            <w:r w:rsidRPr="009B1D6D">
              <w:br/>
            </w:r>
            <w:r w:rsidRPr="009B1D6D">
              <w:rPr>
                <w:rFonts w:ascii="Calibri" w:eastAsia="Calibri" w:hAnsi="Calibri"/>
              </w:rPr>
              <w:t xml:space="preserve">C) the CMHSP representative and treating physician cannot reach agreement and a CMHSP/plan physician is not available for </w:t>
            </w:r>
            <w:r w:rsidRPr="009B1D6D">
              <w:rPr>
                <w:rFonts w:ascii="Calibri" w:eastAsia="Calibri" w:hAnsi="Calibri"/>
              </w:rPr>
              <w:lastRenderedPageBreak/>
              <w:t xml:space="preserve">consultation. In this situation, the treating physician must be given the opportunity to consult with a CMHSP/plan physician, and the treating physician may continue </w:t>
            </w:r>
            <w:proofErr w:type="gramStart"/>
            <w:r w:rsidRPr="009B1D6D">
              <w:rPr>
                <w:rFonts w:ascii="Calibri" w:eastAsia="Calibri" w:hAnsi="Calibri"/>
              </w:rPr>
              <w:t>care</w:t>
            </w:r>
            <w:proofErr w:type="gramEnd"/>
            <w:r w:rsidRPr="009B1D6D">
              <w:rPr>
                <w:rFonts w:ascii="Calibri" w:eastAsia="Calibri" w:hAnsi="Calibri"/>
              </w:rPr>
              <w:t xml:space="preserve"> until a plan physician is reached or one of the end-of-responsibility criteria is met.</w:t>
            </w:r>
          </w:p>
        </w:tc>
        <w:tc>
          <w:tcPr>
            <w:tcW w:w="1606" w:type="dxa"/>
          </w:tcPr>
          <w:p w14:paraId="2BF58266" w14:textId="72290F1C" w:rsidR="00F940C6" w:rsidRPr="009B1D6D" w:rsidRDefault="00F940C6" w:rsidP="00F940C6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42 CFR 422.113(c)(2)-(3)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438.114(e)</w:t>
            </w:r>
          </w:p>
        </w:tc>
        <w:tc>
          <w:tcPr>
            <w:tcW w:w="3330" w:type="dxa"/>
          </w:tcPr>
          <w:p w14:paraId="4452FABB" w14:textId="1F27BBDE" w:rsidR="00F940C6" w:rsidRPr="009B1D6D" w:rsidRDefault="00F940C6" w:rsidP="00F940C6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one-hour response policy/workflow; after-hours contact process; call logs showing request receipt and response time, if applicable during the review timeframe; authorization logs, if applicable during the review timeframe; provider communication, if applicable during the review timeframe; documentation of inability to contact or no agreement, if applicable during the review timeframe; peer-to-peer/plan physician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consultation records, if applicable during the review timeframe; paid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claim examples, if applicable during the review timeframe; claims review showing payment responsibility when one-hour criteria are met, if applicable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90E3" w14:textId="2FA02073" w:rsidR="00F940C6" w:rsidRPr="009B1D6D" w:rsidRDefault="00F940C6" w:rsidP="00F940C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623480" w:rsidRPr="009B1D6D" w14:paraId="0CB77A9A" w14:textId="77777777" w:rsidTr="00AF134E">
        <w:tc>
          <w:tcPr>
            <w:tcW w:w="1797" w:type="dxa"/>
          </w:tcPr>
          <w:p w14:paraId="17ACC4EC" w14:textId="16CAAD71" w:rsidR="00623480" w:rsidRPr="009B1D6D" w:rsidRDefault="00623480" w:rsidP="00623480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14:paraId="5A0B5265" w14:textId="77F9371D" w:rsidR="00623480" w:rsidRPr="009B1D6D" w:rsidRDefault="00623480" w:rsidP="0062348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procedures distinguish the MMBPIS three-hour preadmission screening disposition indicator from the one-hour authorization requirement for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 services. When the CMHSP performs both screening and authorization, documentation shows how disposition and authorization are completed and recorded.</w:t>
            </w:r>
          </w:p>
        </w:tc>
        <w:tc>
          <w:tcPr>
            <w:tcW w:w="1606" w:type="dxa"/>
          </w:tcPr>
          <w:p w14:paraId="7F64E386" w14:textId="3A71A691" w:rsidR="00623480" w:rsidRPr="009B1D6D" w:rsidRDefault="00623480" w:rsidP="00623480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MDHHS 9/26/2024 Memo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422.113(c)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</w:t>
            </w:r>
          </w:p>
        </w:tc>
        <w:tc>
          <w:tcPr>
            <w:tcW w:w="3330" w:type="dxa"/>
          </w:tcPr>
          <w:p w14:paraId="5C798F07" w14:textId="3BE2259A" w:rsidR="00623480" w:rsidRPr="009B1D6D" w:rsidRDefault="00623480" w:rsidP="00623480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preadmission screening workflow; MMBPIS Indicator #1 reports; authorization/certification workflow; case examples showing screening start/stop time, disposition time,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request time, and authorization decision time, if applicable during the review timeframe; staff training distinguishing the three-hour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prescreen indicator from the one-hour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requirement; internal monitoring/audit of timeliness and documentation accuracy, if conducted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E96B" w14:textId="77777777" w:rsidR="00623480" w:rsidRPr="009B1D6D" w:rsidRDefault="00623480" w:rsidP="00623480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5276AC" w:rsidRPr="009B1D6D" w14:paraId="15B45802" w14:textId="77777777" w:rsidTr="000E622A">
        <w:tc>
          <w:tcPr>
            <w:tcW w:w="1797" w:type="dxa"/>
          </w:tcPr>
          <w:p w14:paraId="74FA6E64" w14:textId="4697B708" w:rsidR="005276AC" w:rsidRPr="009B1D6D" w:rsidRDefault="005276AC" w:rsidP="005276AC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14:paraId="4669F288" w14:textId="7E2891D7" w:rsidR="005276AC" w:rsidRPr="009B1D6D" w:rsidRDefault="005276AC" w:rsidP="005276A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procedures identify when financial responsibility for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care services that are not pre-approved ends, including when: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A) an authorized physician/representative with privileges at the treating hospital assumes responsibility for the member’s care;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B) an authorized physician/representative assumes responsibility through transfer;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C) the CMHSP representative and treating physician reach an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agreement concerning the member’s care; or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D) the member is discharged.</w:t>
            </w:r>
          </w:p>
        </w:tc>
        <w:tc>
          <w:tcPr>
            <w:tcW w:w="1606" w:type="dxa"/>
          </w:tcPr>
          <w:p w14:paraId="698A1D27" w14:textId="5DDFDA59" w:rsidR="005276AC" w:rsidRPr="009B1D6D" w:rsidRDefault="005276AC" w:rsidP="005276AC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42 CFR 422.113(c)(3)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438.114(e)</w:t>
            </w:r>
          </w:p>
        </w:tc>
        <w:tc>
          <w:tcPr>
            <w:tcW w:w="3330" w:type="dxa"/>
          </w:tcPr>
          <w:p w14:paraId="728D4186" w14:textId="779E6A4E" w:rsidR="005276AC" w:rsidRPr="009B1D6D" w:rsidRDefault="005276AC" w:rsidP="005276AC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policy/procedure describing end of financial responsibility; discharge or transfer documentation, if applicable during the review timeframe; consultation/agreement notes with treating provider, if applicable during the review timeframe; documentation showing authorized physician/representative assumed responsibility, if applicable during the review timeframe; case examples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showing when payment responsibility ended, if applicable during the review timeframe; claims review workflow; paid/denied claim examples tied to the end-of-responsibility criteria, if applicable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A226" w14:textId="77777777" w:rsidR="005276AC" w:rsidRPr="009B1D6D" w:rsidRDefault="005276AC" w:rsidP="005276A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5276AC" w:rsidRPr="009B1D6D" w14:paraId="2B93FAD3" w14:textId="77777777" w:rsidTr="0040357F">
        <w:tc>
          <w:tcPr>
            <w:tcW w:w="14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A398" w14:textId="573E1F35" w:rsidR="005276AC" w:rsidRPr="009B1D6D" w:rsidRDefault="00E6277E" w:rsidP="005276A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B1D6D">
              <w:rPr>
                <w:rFonts w:eastAsia="Calibri"/>
                <w:b/>
                <w:bCs/>
                <w:sz w:val="24"/>
                <w:szCs w:val="24"/>
              </w:rPr>
              <w:t>Member Information and CMHSP Authorization/UM Implementation:</w:t>
            </w:r>
          </w:p>
        </w:tc>
      </w:tr>
      <w:tr w:rsidR="006E3CA0" w:rsidRPr="009B1D6D" w14:paraId="64DA44F3" w14:textId="77777777" w:rsidTr="00CE3A04">
        <w:tc>
          <w:tcPr>
            <w:tcW w:w="1797" w:type="dxa"/>
          </w:tcPr>
          <w:p w14:paraId="7534071D" w14:textId="330D1BF1" w:rsidR="006E3CA0" w:rsidRPr="009B1D6D" w:rsidRDefault="006E3CA0" w:rsidP="006E3CA0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14</w:t>
            </w:r>
          </w:p>
        </w:tc>
        <w:tc>
          <w:tcPr>
            <w:tcW w:w="3797" w:type="dxa"/>
          </w:tcPr>
          <w:p w14:paraId="6801D101" w14:textId="23F4881A" w:rsidR="006E3CA0" w:rsidRPr="009B1D6D" w:rsidRDefault="006E3CA0" w:rsidP="006E3CA0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provides information and procedures to beneficiaries for obtaining benefits, including service authorization/referral requirements, after-hours and emergency coverage, what constitutes an emergency medical condition and emergency services,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services, and the fact that prior authorization is not required for emergency services.</w:t>
            </w:r>
          </w:p>
        </w:tc>
        <w:tc>
          <w:tcPr>
            <w:tcW w:w="1606" w:type="dxa"/>
          </w:tcPr>
          <w:p w14:paraId="28BBFBBD" w14:textId="25BD6669" w:rsidR="006E3CA0" w:rsidRPr="009B1D6D" w:rsidRDefault="006E3CA0" w:rsidP="006E3CA0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438.10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438.114</w:t>
            </w:r>
          </w:p>
        </w:tc>
        <w:tc>
          <w:tcPr>
            <w:tcW w:w="3330" w:type="dxa"/>
          </w:tcPr>
          <w:p w14:paraId="4EB55C79" w14:textId="4259D05B" w:rsidR="006E3CA0" w:rsidRPr="009B1D6D" w:rsidRDefault="006E3CA0" w:rsidP="006E3CA0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consumer handbook/guide to services; website screenshots; access/crisis line materials; provider directory or access instructions; member materials defining emergency medical condition, emergency services, </w:t>
            </w:r>
            <w:proofErr w:type="spellStart"/>
            <w:r w:rsidRPr="009B1D6D">
              <w:rPr>
                <w:rFonts w:ascii="Calibri" w:eastAsia="Calibri" w:hAnsi="Calibri"/>
                <w:sz w:val="24"/>
                <w:szCs w:val="24"/>
              </w:rPr>
              <w:t>poststabilization</w:t>
            </w:r>
            <w:proofErr w:type="spell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services, emergency room care/transportation if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applicable, and no prior authorization requirement; evidence materials are accessible, current, and available in required formats/languages.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6D7E" w14:textId="77777777" w:rsidR="006E3CA0" w:rsidRPr="009B1D6D" w:rsidRDefault="006E3CA0" w:rsidP="006E3CA0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0270D4" w:rsidRPr="009B1D6D" w14:paraId="7CB384A3" w14:textId="77777777" w:rsidTr="00701496">
        <w:tc>
          <w:tcPr>
            <w:tcW w:w="1797" w:type="dxa"/>
          </w:tcPr>
          <w:p w14:paraId="7F84FB5E" w14:textId="24A464F2" w:rsidR="000270D4" w:rsidRPr="009B1D6D" w:rsidRDefault="000270D4" w:rsidP="000270D4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15</w:t>
            </w:r>
          </w:p>
        </w:tc>
        <w:tc>
          <w:tcPr>
            <w:tcW w:w="3797" w:type="dxa"/>
          </w:tcPr>
          <w:p w14:paraId="2BAC443A" w14:textId="03C01B9A" w:rsidR="000270D4" w:rsidRPr="009B1D6D" w:rsidRDefault="000270D4" w:rsidP="000270D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service authorization policies and procedures include initial approval or denial of requested services, including psychiatric inpatient, psychiatric partial hospitalization, community-based services, grievance and appeals, second opinion management, coordination, and notification.</w:t>
            </w:r>
          </w:p>
        </w:tc>
        <w:tc>
          <w:tcPr>
            <w:tcW w:w="1606" w:type="dxa"/>
          </w:tcPr>
          <w:p w14:paraId="0AC24150" w14:textId="31258203" w:rsidR="000270D4" w:rsidRPr="009B1D6D" w:rsidRDefault="000270D4" w:rsidP="000270D4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MDHHS/PIHP Contract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438.210</w:t>
            </w:r>
          </w:p>
        </w:tc>
        <w:tc>
          <w:tcPr>
            <w:tcW w:w="3330" w:type="dxa"/>
          </w:tcPr>
          <w:p w14:paraId="59503E2D" w14:textId="2B41C696" w:rsidR="000270D4" w:rsidRPr="009B1D6D" w:rsidRDefault="000270D4" w:rsidP="000270D4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authorization policies/procedures; UM program description; access/crisis workflows; inpatient, partial hospitalization, and community-based authorization examples, if applicable during the review timeframe; authorization logs, if applicable during the review timeframe; approval/denial notices, if applicable during the review timeframe; second opinion process; grievance/appeal procedures;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evidence of coordination with hospitals, providers, and care teams, if applicable during the review timeframe; internal review of authorization timeliness and accuracy, if conducted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3350" w14:textId="77777777" w:rsidR="000270D4" w:rsidRPr="009B1D6D" w:rsidRDefault="000270D4" w:rsidP="000270D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F368A" w:rsidRPr="009B1D6D" w14:paraId="3990BA16" w14:textId="77777777" w:rsidTr="00DF3290">
        <w:tc>
          <w:tcPr>
            <w:tcW w:w="1797" w:type="dxa"/>
          </w:tcPr>
          <w:p w14:paraId="66BB9ECF" w14:textId="381A3AD6" w:rsidR="00EF368A" w:rsidRPr="009B1D6D" w:rsidRDefault="00EF368A" w:rsidP="00EF368A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16</w:t>
            </w:r>
          </w:p>
        </w:tc>
        <w:tc>
          <w:tcPr>
            <w:tcW w:w="3797" w:type="dxa"/>
          </w:tcPr>
          <w:p w14:paraId="46C846E9" w14:textId="52BAA614" w:rsidR="00EF368A" w:rsidRPr="009B1D6D" w:rsidRDefault="00EF368A" w:rsidP="00EF368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communicates UM decisions to consumers, including adequate and advance notice, right to second opinion, and grievance and appeal rights.</w:t>
            </w:r>
          </w:p>
        </w:tc>
        <w:tc>
          <w:tcPr>
            <w:tcW w:w="1606" w:type="dxa"/>
          </w:tcPr>
          <w:p w14:paraId="0C553F13" w14:textId="67003303" w:rsidR="00EF368A" w:rsidRPr="009B1D6D" w:rsidRDefault="00EF368A" w:rsidP="00EF368A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MDHHS/PIHP Contract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 Subpart F</w:t>
            </w:r>
          </w:p>
        </w:tc>
        <w:tc>
          <w:tcPr>
            <w:tcW w:w="3330" w:type="dxa"/>
          </w:tcPr>
          <w:p w14:paraId="3D617AFE" w14:textId="7B0218C9" w:rsidR="00EF368A" w:rsidRPr="009B1D6D" w:rsidRDefault="00EF368A" w:rsidP="00EF368A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notice templates; adverse benefit determination examples, if applicable during the review timeframe; adequate and advance notice examples, if applicable during the review timeframe; second opinion documentation, if applicable during the review timeframe; grievance/appeal policy; consumer correspondence logs, if applicable during the review timeframe; documentation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showing timely notice and required rights language; quality review of notices, if conducted during the review timeframe; staff training on notice and appeal requirements.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39DD" w14:textId="77777777" w:rsidR="00EF368A" w:rsidRPr="009B1D6D" w:rsidRDefault="00EF368A" w:rsidP="00EF368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43621" w:rsidRPr="009B1D6D" w14:paraId="31281E1A" w14:textId="77777777" w:rsidTr="00110DED">
        <w:tc>
          <w:tcPr>
            <w:tcW w:w="1797" w:type="dxa"/>
          </w:tcPr>
          <w:p w14:paraId="2B13361A" w14:textId="0A81F173" w:rsidR="00743621" w:rsidRPr="009B1D6D" w:rsidRDefault="00743621" w:rsidP="00743621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17</w:t>
            </w:r>
          </w:p>
        </w:tc>
        <w:tc>
          <w:tcPr>
            <w:tcW w:w="3797" w:type="dxa"/>
          </w:tcPr>
          <w:p w14:paraId="1B0F43A9" w14:textId="660188A9" w:rsidR="00743621" w:rsidRPr="009B1D6D" w:rsidRDefault="00743621" w:rsidP="0074362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has mechanisms to ensure consistent application of review criteria for authorization decisions.</w:t>
            </w:r>
          </w:p>
        </w:tc>
        <w:tc>
          <w:tcPr>
            <w:tcW w:w="1606" w:type="dxa"/>
          </w:tcPr>
          <w:p w14:paraId="33A3776C" w14:textId="563A8E11" w:rsidR="00743621" w:rsidRPr="009B1D6D" w:rsidRDefault="00743621" w:rsidP="00743621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42 CFR 438.210</w:t>
            </w:r>
          </w:p>
        </w:tc>
        <w:tc>
          <w:tcPr>
            <w:tcW w:w="3330" w:type="dxa"/>
          </w:tcPr>
          <w:p w14:paraId="21293996" w14:textId="1BFA5BB6" w:rsidR="00743621" w:rsidRPr="009B1D6D" w:rsidRDefault="00743621" w:rsidP="00743621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medical necessity and level-of-care criteria; clinical review tools; inter-rater reliability process; reviewer qualifications; staff training records; sample authorization decisions showing criteria application, if applicable during the review timeframe; audit results, if conducted during the review timeframe; supervision/quality review notes; corrective action or retraining, if inconsistent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application is identified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F0AE" w14:textId="77777777" w:rsidR="00743621" w:rsidRPr="009B1D6D" w:rsidRDefault="00743621" w:rsidP="00743621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D3AB4" w:rsidRPr="009B1D6D" w14:paraId="2F8F9CD8" w14:textId="77777777" w:rsidTr="00515CC3">
        <w:tc>
          <w:tcPr>
            <w:tcW w:w="1797" w:type="dxa"/>
          </w:tcPr>
          <w:p w14:paraId="44400D18" w14:textId="6381FD10" w:rsidR="00AD3AB4" w:rsidRPr="009B1D6D" w:rsidRDefault="00AD3AB4" w:rsidP="00AD3AB4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18</w:t>
            </w:r>
          </w:p>
        </w:tc>
        <w:tc>
          <w:tcPr>
            <w:tcW w:w="3797" w:type="dxa"/>
          </w:tcPr>
          <w:p w14:paraId="68432809" w14:textId="1354AD21" w:rsidR="00AD3AB4" w:rsidRPr="009B1D6D" w:rsidRDefault="00AD3AB4" w:rsidP="00AD3AB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conducts local-level concurrent and retrospective reviews of authorization and utilization management decisions/activities to internally monitor authorization decisions and congruence between level of need and level of service consistent with PIHP policy, standards, and protocols.</w:t>
            </w:r>
          </w:p>
        </w:tc>
        <w:tc>
          <w:tcPr>
            <w:tcW w:w="1606" w:type="dxa"/>
          </w:tcPr>
          <w:p w14:paraId="7363C4B2" w14:textId="55CF8F28" w:rsidR="00AD3AB4" w:rsidRPr="009B1D6D" w:rsidRDefault="00AD3AB4" w:rsidP="00AD3AB4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MDHHS/PIHP Contract</w:t>
            </w:r>
            <w:r w:rsidRPr="009B1D6D">
              <w:rPr>
                <w:sz w:val="24"/>
                <w:szCs w:val="24"/>
              </w:rPr>
              <w:br/>
            </w:r>
            <w:r w:rsidRPr="009B1D6D">
              <w:rPr>
                <w:rFonts w:ascii="Calibri" w:eastAsia="Calibri" w:hAnsi="Calibri"/>
                <w:sz w:val="24"/>
                <w:szCs w:val="24"/>
              </w:rPr>
              <w:t>42 CFR 438.210</w:t>
            </w:r>
          </w:p>
        </w:tc>
        <w:tc>
          <w:tcPr>
            <w:tcW w:w="3330" w:type="dxa"/>
          </w:tcPr>
          <w:p w14:paraId="557DE24A" w14:textId="0C2BBA90" w:rsidR="00AD3AB4" w:rsidRPr="009B1D6D" w:rsidRDefault="00AD3AB4" w:rsidP="00AD3AB4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concurrent review process; retrospective review process; continued stay review tools; UM monitoring reports, if conducted during the review timeframe; sample chart/authorization reviews, if applicable during the review timeframe; claims or encounter review results, if applicable during the review timeframe; audit tools and results, if conducted during the review timeframe; trend analysis, if conducted during the review timeframe; corrective action plans or training follow-up, if monitoring identifies variation between level of need and level </w:t>
            </w:r>
            <w:r w:rsidRPr="009B1D6D">
              <w:rPr>
                <w:rFonts w:ascii="Calibri" w:eastAsia="Calibri" w:hAnsi="Calibri"/>
                <w:sz w:val="24"/>
                <w:szCs w:val="24"/>
              </w:rPr>
              <w:lastRenderedPageBreak/>
              <w:t>of service during the review timeframe.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403" w14:textId="77777777" w:rsidR="00AD3AB4" w:rsidRPr="009B1D6D" w:rsidRDefault="00AD3AB4" w:rsidP="00AD3AB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317184" w:rsidRPr="009B1D6D" w14:paraId="21F871D0" w14:textId="77777777" w:rsidTr="0031271E">
        <w:tc>
          <w:tcPr>
            <w:tcW w:w="1797" w:type="dxa"/>
          </w:tcPr>
          <w:p w14:paraId="38113B7B" w14:textId="755E9162" w:rsidR="00317184" w:rsidRPr="009B1D6D" w:rsidRDefault="00317184" w:rsidP="00317184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19</w:t>
            </w:r>
          </w:p>
        </w:tc>
        <w:tc>
          <w:tcPr>
            <w:tcW w:w="3797" w:type="dxa"/>
          </w:tcPr>
          <w:p w14:paraId="0823A6D1" w14:textId="38E58C8C" w:rsidR="00317184" w:rsidRPr="009B1D6D" w:rsidRDefault="00317184" w:rsidP="0031718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CMHSP consults with the </w:t>
            </w:r>
            <w:proofErr w:type="gramStart"/>
            <w:r w:rsidRPr="009B1D6D">
              <w:rPr>
                <w:rFonts w:ascii="Calibri" w:eastAsia="Calibri" w:hAnsi="Calibri"/>
                <w:sz w:val="24"/>
                <w:szCs w:val="24"/>
              </w:rPr>
              <w:t>requesting</w:t>
            </w:r>
            <w:proofErr w:type="gramEnd"/>
            <w:r w:rsidRPr="009B1D6D">
              <w:rPr>
                <w:rFonts w:ascii="Calibri" w:eastAsia="Calibri" w:hAnsi="Calibri"/>
                <w:sz w:val="24"/>
                <w:szCs w:val="24"/>
              </w:rPr>
              <w:t xml:space="preserve"> provider for medical or behavioral health services when appropriate.</w:t>
            </w:r>
          </w:p>
        </w:tc>
        <w:tc>
          <w:tcPr>
            <w:tcW w:w="1606" w:type="dxa"/>
          </w:tcPr>
          <w:p w14:paraId="5AC35E31" w14:textId="13A33EA9" w:rsidR="00317184" w:rsidRPr="009B1D6D" w:rsidRDefault="00317184" w:rsidP="00317184">
            <w:pPr>
              <w:rPr>
                <w:rFonts w:eastAsia="Calibri"/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MDHHS/PIHP Contract</w:t>
            </w:r>
          </w:p>
        </w:tc>
        <w:tc>
          <w:tcPr>
            <w:tcW w:w="3330" w:type="dxa"/>
          </w:tcPr>
          <w:p w14:paraId="14015578" w14:textId="5052677C" w:rsidR="00317184" w:rsidRPr="009B1D6D" w:rsidRDefault="00317184" w:rsidP="00317184">
            <w:pPr>
              <w:rPr>
                <w:sz w:val="24"/>
                <w:szCs w:val="24"/>
              </w:rPr>
            </w:pPr>
            <w:r w:rsidRPr="009B1D6D">
              <w:rPr>
                <w:rFonts w:ascii="Calibri" w:eastAsia="Calibri" w:hAnsi="Calibri"/>
                <w:sz w:val="24"/>
                <w:szCs w:val="24"/>
              </w:rPr>
              <w:t>CMHSP provider consultation policy; peer-to-peer process; medical director/clinical reviewer availability process; case examples involving consultation with hospital, emergency department, prescreening staff, or treating provider, if applicable during the review timeframe; documentation of clinical rationale, consultation outcome, and follow-up, if applicable during the review timeframe; provider communication logs, if applicable during the review timeframe; staff training on consultation expectations.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A401" w14:textId="77777777" w:rsidR="00317184" w:rsidRPr="009B1D6D" w:rsidRDefault="00317184" w:rsidP="00317184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5C9FBD12" w14:textId="3DCCB7F8" w:rsidR="00460832" w:rsidRPr="00590DD2" w:rsidRDefault="00460832">
      <w:pPr>
        <w:rPr>
          <w:rFonts w:cstheme="minorHAnsi"/>
          <w:sz w:val="20"/>
          <w:szCs w:val="20"/>
        </w:rPr>
      </w:pPr>
    </w:p>
    <w:sectPr w:rsidR="00460832" w:rsidRPr="00590DD2" w:rsidSect="005020BC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2F600" w14:textId="77777777" w:rsidR="003D4C9A" w:rsidRDefault="003D4C9A" w:rsidP="003B5C2F">
      <w:pPr>
        <w:spacing w:after="0" w:line="240" w:lineRule="auto"/>
      </w:pPr>
      <w:r>
        <w:separator/>
      </w:r>
    </w:p>
  </w:endnote>
  <w:endnote w:type="continuationSeparator" w:id="0">
    <w:p w14:paraId="3B3CA58A" w14:textId="77777777" w:rsidR="003D4C9A" w:rsidRDefault="003D4C9A" w:rsidP="003B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895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18639" w14:textId="49EF1637" w:rsidR="0087550E" w:rsidRDefault="0087550E" w:rsidP="008755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C2833" w14:textId="77777777" w:rsidR="003B5C2F" w:rsidRDefault="003B5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FCFAF" w14:textId="77777777" w:rsidR="003D4C9A" w:rsidRDefault="003D4C9A" w:rsidP="003B5C2F">
      <w:pPr>
        <w:spacing w:after="0" w:line="240" w:lineRule="auto"/>
      </w:pPr>
      <w:r>
        <w:separator/>
      </w:r>
    </w:p>
  </w:footnote>
  <w:footnote w:type="continuationSeparator" w:id="0">
    <w:p w14:paraId="07490D91" w14:textId="77777777" w:rsidR="003D4C9A" w:rsidRDefault="003D4C9A" w:rsidP="003B5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00" w:type="dxa"/>
      <w:tblInd w:w="-6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400"/>
    </w:tblGrid>
    <w:tr w:rsidR="00D26FC3" w14:paraId="2865F971" w14:textId="77777777" w:rsidTr="00635003">
      <w:trPr>
        <w:trHeight w:val="710"/>
      </w:trPr>
      <w:tc>
        <w:tcPr>
          <w:tcW w:w="14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8EAADB" w:themeFill="accent1" w:themeFillTint="99"/>
        </w:tcPr>
        <w:p w14:paraId="07677E53" w14:textId="02049A37" w:rsidR="00D26FC3" w:rsidRPr="007B3E87" w:rsidRDefault="00D26FC3" w:rsidP="007B3E87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 w:rsidRPr="232E3D41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LRE Monitoring of Delegated Functions – Admin/Managed Care Functions</w:t>
          </w:r>
        </w:p>
      </w:tc>
    </w:tr>
  </w:tbl>
  <w:p w14:paraId="26335FB9" w14:textId="776F1379" w:rsidR="00D26FC3" w:rsidRDefault="00D26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5C1"/>
    <w:multiLevelType w:val="hybridMultilevel"/>
    <w:tmpl w:val="A5EA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15F7"/>
    <w:multiLevelType w:val="hybridMultilevel"/>
    <w:tmpl w:val="7496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000E5B"/>
    <w:multiLevelType w:val="hybridMultilevel"/>
    <w:tmpl w:val="B09831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E13C7"/>
    <w:multiLevelType w:val="multilevel"/>
    <w:tmpl w:val="B93265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86B6ED5"/>
    <w:multiLevelType w:val="hybridMultilevel"/>
    <w:tmpl w:val="9DE00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B1737"/>
    <w:multiLevelType w:val="multilevel"/>
    <w:tmpl w:val="A2CE5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1C77617"/>
    <w:multiLevelType w:val="multilevel"/>
    <w:tmpl w:val="302C76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4E7C0C"/>
    <w:multiLevelType w:val="hybridMultilevel"/>
    <w:tmpl w:val="82D48B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81D"/>
    <w:multiLevelType w:val="multilevel"/>
    <w:tmpl w:val="EBDE3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9AB11AB"/>
    <w:multiLevelType w:val="hybridMultilevel"/>
    <w:tmpl w:val="D9DA34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88261">
    <w:abstractNumId w:val="0"/>
  </w:num>
  <w:num w:numId="2" w16cid:durableId="1534344838">
    <w:abstractNumId w:val="1"/>
  </w:num>
  <w:num w:numId="3" w16cid:durableId="990249658">
    <w:abstractNumId w:val="7"/>
  </w:num>
  <w:num w:numId="4" w16cid:durableId="2101178829">
    <w:abstractNumId w:val="2"/>
  </w:num>
  <w:num w:numId="5" w16cid:durableId="1060860187">
    <w:abstractNumId w:val="9"/>
  </w:num>
  <w:num w:numId="6" w16cid:durableId="85469733">
    <w:abstractNumId w:val="8"/>
  </w:num>
  <w:num w:numId="7" w16cid:durableId="691228619">
    <w:abstractNumId w:val="4"/>
  </w:num>
  <w:num w:numId="8" w16cid:durableId="1620838600">
    <w:abstractNumId w:val="3"/>
  </w:num>
  <w:num w:numId="9" w16cid:durableId="1308239555">
    <w:abstractNumId w:val="5"/>
  </w:num>
  <w:num w:numId="10" w16cid:durableId="1218591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AB"/>
    <w:rsid w:val="0000048D"/>
    <w:rsid w:val="00015CF6"/>
    <w:rsid w:val="0001718E"/>
    <w:rsid w:val="00021945"/>
    <w:rsid w:val="00022D33"/>
    <w:rsid w:val="000270D4"/>
    <w:rsid w:val="00033941"/>
    <w:rsid w:val="0005683E"/>
    <w:rsid w:val="00095542"/>
    <w:rsid w:val="000B6AB2"/>
    <w:rsid w:val="000B7EAC"/>
    <w:rsid w:val="000E61C4"/>
    <w:rsid w:val="00135375"/>
    <w:rsid w:val="001B4AD4"/>
    <w:rsid w:val="001D09DC"/>
    <w:rsid w:val="001D6AA1"/>
    <w:rsid w:val="001D6CD8"/>
    <w:rsid w:val="001E35DF"/>
    <w:rsid w:val="001F2737"/>
    <w:rsid w:val="0020233B"/>
    <w:rsid w:val="00206904"/>
    <w:rsid w:val="00206C7B"/>
    <w:rsid w:val="00210283"/>
    <w:rsid w:val="00214329"/>
    <w:rsid w:val="00220A0D"/>
    <w:rsid w:val="0023454B"/>
    <w:rsid w:val="0026268F"/>
    <w:rsid w:val="0027291B"/>
    <w:rsid w:val="002965F5"/>
    <w:rsid w:val="002A4C4E"/>
    <w:rsid w:val="002B697E"/>
    <w:rsid w:val="002C6973"/>
    <w:rsid w:val="002E172F"/>
    <w:rsid w:val="002E468D"/>
    <w:rsid w:val="002F4F04"/>
    <w:rsid w:val="002F7456"/>
    <w:rsid w:val="00304B06"/>
    <w:rsid w:val="00312D93"/>
    <w:rsid w:val="00317184"/>
    <w:rsid w:val="00325264"/>
    <w:rsid w:val="00326B1D"/>
    <w:rsid w:val="00327E08"/>
    <w:rsid w:val="00341FB3"/>
    <w:rsid w:val="00345A3A"/>
    <w:rsid w:val="0035758D"/>
    <w:rsid w:val="0036393B"/>
    <w:rsid w:val="00366E6A"/>
    <w:rsid w:val="00374D74"/>
    <w:rsid w:val="00375243"/>
    <w:rsid w:val="003820BB"/>
    <w:rsid w:val="003B5C2F"/>
    <w:rsid w:val="003C4A9F"/>
    <w:rsid w:val="003C60E1"/>
    <w:rsid w:val="003D4C9A"/>
    <w:rsid w:val="003D7D7B"/>
    <w:rsid w:val="003F29F2"/>
    <w:rsid w:val="003F452B"/>
    <w:rsid w:val="00400A2B"/>
    <w:rsid w:val="0041166F"/>
    <w:rsid w:val="004207CE"/>
    <w:rsid w:val="00420ED5"/>
    <w:rsid w:val="004432E1"/>
    <w:rsid w:val="004515A2"/>
    <w:rsid w:val="00460832"/>
    <w:rsid w:val="00472A1F"/>
    <w:rsid w:val="00491AE0"/>
    <w:rsid w:val="00491CF8"/>
    <w:rsid w:val="00493971"/>
    <w:rsid w:val="004A0CA3"/>
    <w:rsid w:val="004B1CB0"/>
    <w:rsid w:val="004B3946"/>
    <w:rsid w:val="004B4C26"/>
    <w:rsid w:val="004C290A"/>
    <w:rsid w:val="004C42EE"/>
    <w:rsid w:val="004E5935"/>
    <w:rsid w:val="004F0D40"/>
    <w:rsid w:val="004F378F"/>
    <w:rsid w:val="004F4D10"/>
    <w:rsid w:val="0050157F"/>
    <w:rsid w:val="005020BC"/>
    <w:rsid w:val="00512765"/>
    <w:rsid w:val="00512B00"/>
    <w:rsid w:val="005130CB"/>
    <w:rsid w:val="00515521"/>
    <w:rsid w:val="005276AC"/>
    <w:rsid w:val="00563EF0"/>
    <w:rsid w:val="00564A58"/>
    <w:rsid w:val="00590DD2"/>
    <w:rsid w:val="005958C3"/>
    <w:rsid w:val="005A1AFC"/>
    <w:rsid w:val="005A1E21"/>
    <w:rsid w:val="005C6144"/>
    <w:rsid w:val="005F4E60"/>
    <w:rsid w:val="00606C8E"/>
    <w:rsid w:val="00606D7A"/>
    <w:rsid w:val="00623480"/>
    <w:rsid w:val="00625263"/>
    <w:rsid w:val="00635003"/>
    <w:rsid w:val="00637610"/>
    <w:rsid w:val="0064361D"/>
    <w:rsid w:val="00654876"/>
    <w:rsid w:val="00657B0C"/>
    <w:rsid w:val="00671A4D"/>
    <w:rsid w:val="00683A93"/>
    <w:rsid w:val="006D08E0"/>
    <w:rsid w:val="006D143B"/>
    <w:rsid w:val="006D54C4"/>
    <w:rsid w:val="006E3CA0"/>
    <w:rsid w:val="006F2EFD"/>
    <w:rsid w:val="00712B90"/>
    <w:rsid w:val="00723477"/>
    <w:rsid w:val="00727BD7"/>
    <w:rsid w:val="00743621"/>
    <w:rsid w:val="00746FB0"/>
    <w:rsid w:val="007579C5"/>
    <w:rsid w:val="00770040"/>
    <w:rsid w:val="00774060"/>
    <w:rsid w:val="007A02BE"/>
    <w:rsid w:val="007A5376"/>
    <w:rsid w:val="007B0D9D"/>
    <w:rsid w:val="007B3B0A"/>
    <w:rsid w:val="007B3E87"/>
    <w:rsid w:val="007B6F9E"/>
    <w:rsid w:val="007D2B6F"/>
    <w:rsid w:val="007E25A8"/>
    <w:rsid w:val="007E3C78"/>
    <w:rsid w:val="007F45A4"/>
    <w:rsid w:val="00833839"/>
    <w:rsid w:val="00834BF9"/>
    <w:rsid w:val="00836E29"/>
    <w:rsid w:val="0084736A"/>
    <w:rsid w:val="008556A6"/>
    <w:rsid w:val="00856EAF"/>
    <w:rsid w:val="00857515"/>
    <w:rsid w:val="008605A7"/>
    <w:rsid w:val="00864938"/>
    <w:rsid w:val="0087550E"/>
    <w:rsid w:val="0088516C"/>
    <w:rsid w:val="008E0EA2"/>
    <w:rsid w:val="008E52B8"/>
    <w:rsid w:val="008F15B3"/>
    <w:rsid w:val="008F35AC"/>
    <w:rsid w:val="0090109B"/>
    <w:rsid w:val="00904B21"/>
    <w:rsid w:val="0090580C"/>
    <w:rsid w:val="009336FD"/>
    <w:rsid w:val="00971A7F"/>
    <w:rsid w:val="00972581"/>
    <w:rsid w:val="00981570"/>
    <w:rsid w:val="0098238B"/>
    <w:rsid w:val="009B1D6D"/>
    <w:rsid w:val="009C0CC1"/>
    <w:rsid w:val="009C6744"/>
    <w:rsid w:val="009F616B"/>
    <w:rsid w:val="00A05686"/>
    <w:rsid w:val="00A327AA"/>
    <w:rsid w:val="00A42F4D"/>
    <w:rsid w:val="00A50D84"/>
    <w:rsid w:val="00A66F72"/>
    <w:rsid w:val="00A70496"/>
    <w:rsid w:val="00A76376"/>
    <w:rsid w:val="00A76E6D"/>
    <w:rsid w:val="00A80077"/>
    <w:rsid w:val="00A934FD"/>
    <w:rsid w:val="00A93A22"/>
    <w:rsid w:val="00AB2612"/>
    <w:rsid w:val="00AC12FF"/>
    <w:rsid w:val="00AD1979"/>
    <w:rsid w:val="00AD3043"/>
    <w:rsid w:val="00AD348B"/>
    <w:rsid w:val="00AD3AB4"/>
    <w:rsid w:val="00AF4B83"/>
    <w:rsid w:val="00AF78EB"/>
    <w:rsid w:val="00B31B33"/>
    <w:rsid w:val="00B53806"/>
    <w:rsid w:val="00B539BA"/>
    <w:rsid w:val="00B627AB"/>
    <w:rsid w:val="00B7074B"/>
    <w:rsid w:val="00BC1AAC"/>
    <w:rsid w:val="00BE0211"/>
    <w:rsid w:val="00BF3B1C"/>
    <w:rsid w:val="00C02E18"/>
    <w:rsid w:val="00C33FE4"/>
    <w:rsid w:val="00C44743"/>
    <w:rsid w:val="00C45677"/>
    <w:rsid w:val="00C71A35"/>
    <w:rsid w:val="00C77095"/>
    <w:rsid w:val="00C9547B"/>
    <w:rsid w:val="00CD4386"/>
    <w:rsid w:val="00CD781A"/>
    <w:rsid w:val="00D03D03"/>
    <w:rsid w:val="00D07D68"/>
    <w:rsid w:val="00D176BA"/>
    <w:rsid w:val="00D26569"/>
    <w:rsid w:val="00D26FC3"/>
    <w:rsid w:val="00D62771"/>
    <w:rsid w:val="00D66C1A"/>
    <w:rsid w:val="00D86BF5"/>
    <w:rsid w:val="00DA12AB"/>
    <w:rsid w:val="00DA1351"/>
    <w:rsid w:val="00DB16F6"/>
    <w:rsid w:val="00DB1FDB"/>
    <w:rsid w:val="00DC3AB3"/>
    <w:rsid w:val="00E01CCC"/>
    <w:rsid w:val="00E25D4B"/>
    <w:rsid w:val="00E25DDC"/>
    <w:rsid w:val="00E32905"/>
    <w:rsid w:val="00E434BD"/>
    <w:rsid w:val="00E56796"/>
    <w:rsid w:val="00E6277E"/>
    <w:rsid w:val="00E627E5"/>
    <w:rsid w:val="00E6677D"/>
    <w:rsid w:val="00E727EA"/>
    <w:rsid w:val="00E72E42"/>
    <w:rsid w:val="00E80B56"/>
    <w:rsid w:val="00EA24E8"/>
    <w:rsid w:val="00EB4464"/>
    <w:rsid w:val="00EB5339"/>
    <w:rsid w:val="00EC7A47"/>
    <w:rsid w:val="00ED0A1B"/>
    <w:rsid w:val="00ED5AB2"/>
    <w:rsid w:val="00ED68D7"/>
    <w:rsid w:val="00EE67DC"/>
    <w:rsid w:val="00EF368A"/>
    <w:rsid w:val="00F12237"/>
    <w:rsid w:val="00F32DBE"/>
    <w:rsid w:val="00F677A3"/>
    <w:rsid w:val="00F70C8E"/>
    <w:rsid w:val="00F72BB8"/>
    <w:rsid w:val="00F775F4"/>
    <w:rsid w:val="00F81C72"/>
    <w:rsid w:val="00F82AED"/>
    <w:rsid w:val="00F940C6"/>
    <w:rsid w:val="00FB37CE"/>
    <w:rsid w:val="00FC577F"/>
    <w:rsid w:val="00FD2B16"/>
    <w:rsid w:val="00FD4175"/>
    <w:rsid w:val="00FD7B7C"/>
    <w:rsid w:val="00FF6689"/>
    <w:rsid w:val="04D5018B"/>
    <w:rsid w:val="0648938D"/>
    <w:rsid w:val="07014B8F"/>
    <w:rsid w:val="08B8D308"/>
    <w:rsid w:val="09E98AFE"/>
    <w:rsid w:val="0B9E8CB5"/>
    <w:rsid w:val="0CFE3300"/>
    <w:rsid w:val="0D900E64"/>
    <w:rsid w:val="12AD206C"/>
    <w:rsid w:val="14D1FCF8"/>
    <w:rsid w:val="1819088C"/>
    <w:rsid w:val="188973FE"/>
    <w:rsid w:val="1A8DA0A1"/>
    <w:rsid w:val="232E3D41"/>
    <w:rsid w:val="29935ABB"/>
    <w:rsid w:val="2A12E643"/>
    <w:rsid w:val="31430FDB"/>
    <w:rsid w:val="3683EF53"/>
    <w:rsid w:val="3735C63D"/>
    <w:rsid w:val="3B9CFB7A"/>
    <w:rsid w:val="3C1FE97C"/>
    <w:rsid w:val="3E7C5830"/>
    <w:rsid w:val="424CF698"/>
    <w:rsid w:val="44DAF655"/>
    <w:rsid w:val="4601D188"/>
    <w:rsid w:val="48129717"/>
    <w:rsid w:val="4CCCDFDD"/>
    <w:rsid w:val="4EC0F193"/>
    <w:rsid w:val="50F0560C"/>
    <w:rsid w:val="583F8B06"/>
    <w:rsid w:val="58CDD95D"/>
    <w:rsid w:val="5DB086B3"/>
    <w:rsid w:val="62F7A817"/>
    <w:rsid w:val="6446081E"/>
    <w:rsid w:val="64762CCE"/>
    <w:rsid w:val="6950F11B"/>
    <w:rsid w:val="6F10D207"/>
    <w:rsid w:val="72A8C6C1"/>
    <w:rsid w:val="7BBD0FB0"/>
    <w:rsid w:val="7CF8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79617"/>
  <w15:chartTrackingRefBased/>
  <w15:docId w15:val="{8120E917-40E7-4B74-A925-9F530F77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2F"/>
  </w:style>
  <w:style w:type="paragraph" w:styleId="Footer">
    <w:name w:val="footer"/>
    <w:basedOn w:val="Normal"/>
    <w:link w:val="Foot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08CD27-8AE9-4F7F-9859-2F780D992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A2B2BB-337A-4CE5-B98C-B4C43761D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5573BB-F182-477D-A0D7-57408A338673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2185</Words>
  <Characters>15011</Characters>
  <Application>Microsoft Office Word</Application>
  <DocSecurity>0</DocSecurity>
  <Lines>428</Lines>
  <Paragraphs>99</Paragraphs>
  <ScaleCrop>false</ScaleCrop>
  <Company/>
  <LinksUpToDate>false</LinksUpToDate>
  <CharactersWithSpaces>17097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Rozema</dc:creator>
  <cp:keywords/>
  <dc:description/>
  <cp:lastModifiedBy>Jackie Schut</cp:lastModifiedBy>
  <cp:revision>3</cp:revision>
  <dcterms:created xsi:type="dcterms:W3CDTF">2026-09-21T19:35:00Z</dcterms:created>
  <dcterms:modified xsi:type="dcterms:W3CDTF">2026-09-21T19:36:00Z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0x0101004FF67AA668E8B94FA24A1336DCFFCBB3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