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0" w:type="dxa"/>
        <w:tblLook w:val="04A0" w:firstRow="1" w:lastRow="0" w:firstColumn="1" w:lastColumn="0" w:noHBand="0" w:noVBand="1"/>
      </w:tblPr>
      <w:tblGrid>
        <w:gridCol w:w="876"/>
        <w:gridCol w:w="3056"/>
        <w:gridCol w:w="2212"/>
        <w:gridCol w:w="3861"/>
        <w:gridCol w:w="2258"/>
        <w:gridCol w:w="2127"/>
      </w:tblGrid>
      <w:tr w:rsidR="00B20FF1" w:rsidRPr="00A9637A" w14:paraId="5E539031" w14:textId="77777777" w:rsidTr="00CC7E1A">
        <w:trPr>
          <w:cantSplit/>
          <w:tblHeader/>
        </w:trPr>
        <w:tc>
          <w:tcPr>
            <w:tcW w:w="14390" w:type="dxa"/>
            <w:gridSpan w:val="6"/>
            <w:shd w:val="clear" w:color="auto" w:fill="B4C6E7" w:themeFill="accent1" w:themeFillTint="66"/>
          </w:tcPr>
          <w:p w14:paraId="437443A3" w14:textId="1EDA84CF" w:rsidR="00B20FF1" w:rsidRPr="00A9637A" w:rsidRDefault="00BB1544" w:rsidP="00954EFB">
            <w:pPr>
              <w:rPr>
                <w:b/>
                <w:sz w:val="24"/>
                <w:szCs w:val="24"/>
              </w:rPr>
            </w:pPr>
            <w:r w:rsidRPr="00A9637A">
              <w:rPr>
                <w:b/>
                <w:sz w:val="24"/>
                <w:szCs w:val="24"/>
              </w:rPr>
              <w:t>2027 Standard XI Practice Guidelines</w:t>
            </w:r>
          </w:p>
        </w:tc>
      </w:tr>
      <w:tr w:rsidR="00954EFB" w:rsidRPr="00A9637A" w14:paraId="2700DBCE" w14:textId="77777777" w:rsidTr="00D60055">
        <w:trPr>
          <w:cantSplit/>
          <w:tblHeader/>
        </w:trPr>
        <w:tc>
          <w:tcPr>
            <w:tcW w:w="984" w:type="dxa"/>
            <w:shd w:val="clear" w:color="auto" w:fill="B4C6E7" w:themeFill="accent1" w:themeFillTint="66"/>
          </w:tcPr>
          <w:p w14:paraId="66496912" w14:textId="7C5DBA55" w:rsidR="00954EFB" w:rsidRPr="00A9637A" w:rsidRDefault="00954EFB" w:rsidP="00ED196A">
            <w:pPr>
              <w:jc w:val="center"/>
              <w:rPr>
                <w:rFonts w:eastAsia="Calibri"/>
                <w:sz w:val="24"/>
                <w:szCs w:val="24"/>
              </w:rPr>
            </w:pPr>
            <w:r w:rsidRPr="00A9637A">
              <w:rPr>
                <w:rFonts w:eastAsia="Calibri"/>
                <w:b/>
                <w:sz w:val="24"/>
                <w:szCs w:val="24"/>
              </w:rPr>
              <w:t>#</w:t>
            </w:r>
          </w:p>
        </w:tc>
        <w:tc>
          <w:tcPr>
            <w:tcW w:w="3615" w:type="dxa"/>
            <w:shd w:val="clear" w:color="auto" w:fill="B4C6E7" w:themeFill="accent1" w:themeFillTint="66"/>
          </w:tcPr>
          <w:p w14:paraId="2950BA25" w14:textId="32C244E4" w:rsidR="00954EFB" w:rsidRPr="00A9637A" w:rsidRDefault="00954EFB" w:rsidP="00ED196A">
            <w:pPr>
              <w:jc w:val="center"/>
              <w:rPr>
                <w:rFonts w:eastAsia="Calibri"/>
                <w:b/>
                <w:bCs/>
                <w:sz w:val="24"/>
                <w:szCs w:val="24"/>
              </w:rPr>
            </w:pPr>
            <w:r w:rsidRPr="00A9637A">
              <w:rPr>
                <w:rFonts w:eastAsia="Calibri"/>
                <w:b/>
                <w:sz w:val="24"/>
                <w:szCs w:val="24"/>
              </w:rPr>
              <w:t>Standard</w:t>
            </w:r>
          </w:p>
        </w:tc>
        <w:tc>
          <w:tcPr>
            <w:tcW w:w="2487" w:type="dxa"/>
            <w:shd w:val="clear" w:color="auto" w:fill="B4C6E7" w:themeFill="accent1" w:themeFillTint="66"/>
          </w:tcPr>
          <w:p w14:paraId="1901F8C8" w14:textId="61D9BBF6" w:rsidR="00954EFB" w:rsidRPr="00A9637A" w:rsidRDefault="00954EFB" w:rsidP="00ED196A">
            <w:pPr>
              <w:jc w:val="center"/>
              <w:rPr>
                <w:rFonts w:cstheme="minorHAnsi"/>
                <w:sz w:val="24"/>
                <w:szCs w:val="24"/>
              </w:rPr>
            </w:pPr>
            <w:r w:rsidRPr="00A9637A">
              <w:rPr>
                <w:rFonts w:eastAsia="Calibri"/>
                <w:b/>
                <w:sz w:val="24"/>
                <w:szCs w:val="24"/>
              </w:rPr>
              <w:t>Basis/Source</w:t>
            </w:r>
          </w:p>
        </w:tc>
        <w:tc>
          <w:tcPr>
            <w:tcW w:w="2500" w:type="dxa"/>
            <w:shd w:val="clear" w:color="auto" w:fill="B4C6E7" w:themeFill="accent1" w:themeFillTint="66"/>
          </w:tcPr>
          <w:p w14:paraId="7BB1D43D" w14:textId="790CC419" w:rsidR="00954EFB" w:rsidRPr="00A9637A" w:rsidRDefault="00954EFB" w:rsidP="00ED196A">
            <w:pPr>
              <w:jc w:val="center"/>
              <w:rPr>
                <w:rFonts w:cstheme="minorHAnsi"/>
                <w:sz w:val="24"/>
                <w:szCs w:val="24"/>
              </w:rPr>
            </w:pPr>
            <w:r w:rsidRPr="00A9637A">
              <w:rPr>
                <w:b/>
                <w:sz w:val="24"/>
                <w:szCs w:val="24"/>
              </w:rPr>
              <w:t>Evidence of Compliance could include:</w:t>
            </w:r>
          </w:p>
        </w:tc>
        <w:tc>
          <w:tcPr>
            <w:tcW w:w="2263" w:type="dxa"/>
            <w:shd w:val="clear" w:color="auto" w:fill="B4C6E7" w:themeFill="accent1" w:themeFillTint="66"/>
          </w:tcPr>
          <w:p w14:paraId="70282237" w14:textId="79CBFD52" w:rsidR="00954EFB" w:rsidRPr="00A9637A" w:rsidRDefault="00954EFB" w:rsidP="00ED196A">
            <w:pPr>
              <w:jc w:val="center"/>
              <w:rPr>
                <w:rFonts w:cstheme="minorHAnsi"/>
                <w:sz w:val="24"/>
                <w:szCs w:val="24"/>
              </w:rPr>
            </w:pPr>
            <w:r w:rsidRPr="00A9637A">
              <w:rPr>
                <w:b/>
                <w:sz w:val="24"/>
                <w:szCs w:val="24"/>
              </w:rPr>
              <w:t>Review Guidelines for Review</w:t>
            </w:r>
          </w:p>
        </w:tc>
        <w:tc>
          <w:tcPr>
            <w:tcW w:w="2541" w:type="dxa"/>
            <w:shd w:val="clear" w:color="auto" w:fill="B4C6E7" w:themeFill="accent1" w:themeFillTint="66"/>
          </w:tcPr>
          <w:p w14:paraId="4EB59423" w14:textId="21C237F0" w:rsidR="00954EFB" w:rsidRPr="00A9637A" w:rsidRDefault="00954EFB" w:rsidP="00ED196A">
            <w:pPr>
              <w:jc w:val="center"/>
              <w:rPr>
                <w:rFonts w:cstheme="minorHAnsi"/>
                <w:sz w:val="24"/>
                <w:szCs w:val="24"/>
              </w:rPr>
            </w:pPr>
            <w:r w:rsidRPr="00A9637A">
              <w:rPr>
                <w:b/>
                <w:color w:val="FF0000"/>
                <w:sz w:val="24"/>
                <w:szCs w:val="24"/>
              </w:rPr>
              <w:t xml:space="preserve">Provider to complete: </w:t>
            </w:r>
            <w:r w:rsidRPr="00A9637A">
              <w:rPr>
                <w:b/>
                <w:sz w:val="24"/>
                <w:szCs w:val="24"/>
              </w:rPr>
              <w:t>List evidence provided and location of evidence for specific standard</w:t>
            </w:r>
          </w:p>
        </w:tc>
      </w:tr>
      <w:tr w:rsidR="00ED196A" w:rsidRPr="00A9637A" w14:paraId="3D25D419" w14:textId="77777777" w:rsidTr="00832361">
        <w:trPr>
          <w:trHeight w:val="458"/>
        </w:trPr>
        <w:tc>
          <w:tcPr>
            <w:tcW w:w="14390" w:type="dxa"/>
            <w:gridSpan w:val="6"/>
          </w:tcPr>
          <w:p w14:paraId="50D6025F" w14:textId="2EBE050D" w:rsidR="00ED196A" w:rsidRPr="00A9637A" w:rsidRDefault="00CA3317" w:rsidP="00954EFB">
            <w:pPr>
              <w:rPr>
                <w:rFonts w:cstheme="minorHAnsi"/>
                <w:sz w:val="24"/>
                <w:szCs w:val="24"/>
              </w:rPr>
            </w:pPr>
            <w:r w:rsidRPr="00A9637A">
              <w:rPr>
                <w:rFonts w:eastAsia="Calibri" w:cstheme="minorHAnsi"/>
                <w:b/>
                <w:sz w:val="24"/>
                <w:szCs w:val="24"/>
              </w:rPr>
              <w:t>Practice Guidelines</w:t>
            </w:r>
          </w:p>
        </w:tc>
      </w:tr>
      <w:tr w:rsidR="00AB6DEA" w:rsidRPr="00A9637A" w14:paraId="5117FCC7" w14:textId="77777777" w:rsidTr="005A4A13">
        <w:tc>
          <w:tcPr>
            <w:tcW w:w="984" w:type="dxa"/>
            <w:tcBorders>
              <w:top w:val="single" w:sz="4" w:space="0" w:color="000000"/>
              <w:left w:val="single" w:sz="4" w:space="0" w:color="000000"/>
              <w:bottom w:val="single" w:sz="4" w:space="0" w:color="000000"/>
              <w:right w:val="single" w:sz="4" w:space="0" w:color="000000"/>
            </w:tcBorders>
            <w:vAlign w:val="center"/>
          </w:tcPr>
          <w:p w14:paraId="20E4F568" w14:textId="2E171DB2" w:rsidR="00AB6DEA" w:rsidRPr="00A9637A" w:rsidRDefault="00AB6DEA" w:rsidP="00AB6DEA">
            <w:pPr>
              <w:rPr>
                <w:rFonts w:cstheme="minorHAnsi"/>
                <w:sz w:val="24"/>
                <w:szCs w:val="24"/>
              </w:rPr>
            </w:pPr>
            <w:r w:rsidRPr="00A9637A">
              <w:rPr>
                <w:rFonts w:ascii="Calibri" w:hAnsi="Calibri"/>
                <w:sz w:val="24"/>
                <w:szCs w:val="24"/>
              </w:rPr>
              <w:t>11.1</w:t>
            </w:r>
          </w:p>
        </w:tc>
        <w:tc>
          <w:tcPr>
            <w:tcW w:w="3615" w:type="dxa"/>
            <w:tcBorders>
              <w:top w:val="single" w:sz="4" w:space="0" w:color="000000"/>
              <w:left w:val="single" w:sz="4" w:space="0" w:color="000000"/>
              <w:bottom w:val="single" w:sz="4" w:space="0" w:color="000000"/>
              <w:right w:val="single" w:sz="4" w:space="0" w:color="000000"/>
            </w:tcBorders>
          </w:tcPr>
          <w:p w14:paraId="0AA75C8B" w14:textId="36680225" w:rsidR="00AB6DEA" w:rsidRPr="00A9637A" w:rsidRDefault="00AB6DEA" w:rsidP="00740733">
            <w:pPr>
              <w:rPr>
                <w:rFonts w:cstheme="minorHAnsi"/>
                <w:sz w:val="24"/>
                <w:szCs w:val="24"/>
              </w:rPr>
            </w:pPr>
            <w:r w:rsidRPr="00A9637A">
              <w:rPr>
                <w:rFonts w:ascii="Calibri" w:hAnsi="Calibri"/>
                <w:sz w:val="24"/>
                <w:szCs w:val="24"/>
              </w:rPr>
              <w:t>The CMHSP implements and follows LRE-adopted practice guidelines that are based on valid and reliable clinical evidence or consensus of providers in the field. The CMHSP demonstrates how applicable guidelines are incorporated into local QAPIP activities, policies, procedures, training, clinical operations, UM processes, provider communication, and monitoring activities.</w:t>
            </w:r>
          </w:p>
        </w:tc>
        <w:tc>
          <w:tcPr>
            <w:tcW w:w="2487" w:type="dxa"/>
            <w:tcBorders>
              <w:top w:val="single" w:sz="4" w:space="0" w:color="000000"/>
              <w:left w:val="single" w:sz="4" w:space="0" w:color="000000"/>
              <w:bottom w:val="single" w:sz="4" w:space="0" w:color="000000"/>
              <w:right w:val="single" w:sz="4" w:space="0" w:color="000000"/>
            </w:tcBorders>
          </w:tcPr>
          <w:p w14:paraId="5195F818" w14:textId="2949F174" w:rsidR="00AB6DEA" w:rsidRPr="00A9637A" w:rsidRDefault="00AB6DEA" w:rsidP="00AB6DEA">
            <w:pPr>
              <w:rPr>
                <w:rFonts w:cstheme="minorHAnsi"/>
                <w:sz w:val="24"/>
                <w:szCs w:val="24"/>
              </w:rPr>
            </w:pPr>
            <w:r w:rsidRPr="00A9637A">
              <w:rPr>
                <w:rFonts w:ascii="Calibri" w:hAnsi="Calibri"/>
                <w:sz w:val="24"/>
                <w:szCs w:val="24"/>
              </w:rPr>
              <w:t>HSAG Standard XI, Element 1; 42 CFR 438.236(b)(1); 42 CFR 457.1233(c); MDHHS QAPIP for Specialty PIHPs; MDHHS Medicaid Managed Specialty Supports and Services Contract; LRE Policy 5.15.</w:t>
            </w:r>
          </w:p>
        </w:tc>
        <w:tc>
          <w:tcPr>
            <w:tcW w:w="2500" w:type="dxa"/>
            <w:tcBorders>
              <w:top w:val="single" w:sz="4" w:space="0" w:color="000000"/>
              <w:left w:val="single" w:sz="4" w:space="0" w:color="000000"/>
              <w:bottom w:val="single" w:sz="4" w:space="0" w:color="000000"/>
              <w:right w:val="single" w:sz="4" w:space="0" w:color="000000"/>
            </w:tcBorders>
          </w:tcPr>
          <w:p w14:paraId="015B8205" w14:textId="3FCBFACF" w:rsidR="00AB6DEA" w:rsidRPr="00A9637A" w:rsidRDefault="00AB6DEA" w:rsidP="00AB6DEA">
            <w:pPr>
              <w:rPr>
                <w:rFonts w:cstheme="minorHAnsi"/>
                <w:sz w:val="24"/>
                <w:szCs w:val="24"/>
              </w:rPr>
            </w:pPr>
            <w:r w:rsidRPr="00A9637A">
              <w:rPr>
                <w:rFonts w:ascii="Calibri" w:hAnsi="Calibri"/>
                <w:sz w:val="24"/>
                <w:szCs w:val="24"/>
              </w:rPr>
              <w:t>CMHSP policies, procedures, QAPIP materials, committee minutes, training materials, provider communications, website screenshots, list of applicable LRE-adopted or MDHHS-required practice guidelines, evidence of local monitoring or follow-up related to guideline implementation, contractor reporting to LRE regarding clinical interventions or evidence-based practices used, and documentation from LRE site review or monitoring activities.</w:t>
            </w:r>
          </w:p>
        </w:tc>
        <w:tc>
          <w:tcPr>
            <w:tcW w:w="2263" w:type="dxa"/>
            <w:tcBorders>
              <w:top w:val="single" w:sz="4" w:space="0" w:color="000000"/>
              <w:left w:val="single" w:sz="4" w:space="0" w:color="000000"/>
              <w:bottom w:val="single" w:sz="4" w:space="0" w:color="000000"/>
              <w:right w:val="single" w:sz="4" w:space="0" w:color="000000"/>
            </w:tcBorders>
          </w:tcPr>
          <w:p w14:paraId="2E97B05E" w14:textId="0F61AB59" w:rsidR="00AB6DEA" w:rsidRPr="00A9637A" w:rsidRDefault="00AB6DEA" w:rsidP="00AB6DEA">
            <w:pPr>
              <w:rPr>
                <w:rFonts w:cstheme="minorHAnsi"/>
                <w:sz w:val="24"/>
                <w:szCs w:val="24"/>
              </w:rPr>
            </w:pPr>
            <w:r w:rsidRPr="00A9637A">
              <w:rPr>
                <w:rFonts w:ascii="Calibri" w:hAnsi="Calibri"/>
                <w:sz w:val="24"/>
                <w:szCs w:val="24"/>
              </w:rPr>
              <w:t xml:space="preserve">Confirm the CMHSP follows LRE-adopted and MDHHS-required practice guidelines and can show how they are operationalized locally through QAPIP, policy, training, committee review, UM, supervision, provider communication, or site review evidence. The CMHSP is not expected to independently satisfy the PIHP adoption function but must demonstrate implementation, </w:t>
            </w:r>
            <w:r w:rsidRPr="00A9637A">
              <w:rPr>
                <w:rFonts w:ascii="Calibri" w:hAnsi="Calibri"/>
                <w:sz w:val="24"/>
                <w:szCs w:val="24"/>
              </w:rPr>
              <w:lastRenderedPageBreak/>
              <w:t>reporting of clinical practices or evidence-based practices used, local monitoring, and cooperation with LRE oversight.</w:t>
            </w:r>
          </w:p>
        </w:tc>
        <w:tc>
          <w:tcPr>
            <w:tcW w:w="2541" w:type="dxa"/>
          </w:tcPr>
          <w:p w14:paraId="0C55C29F" w14:textId="78FD2956" w:rsidR="00AB6DEA" w:rsidRPr="00A9637A" w:rsidRDefault="00AB6DEA" w:rsidP="00AB6DEA">
            <w:pPr>
              <w:rPr>
                <w:rFonts w:cstheme="minorHAnsi"/>
                <w:sz w:val="24"/>
                <w:szCs w:val="24"/>
              </w:rPr>
            </w:pPr>
          </w:p>
        </w:tc>
      </w:tr>
      <w:tr w:rsidR="00FF6C1F" w:rsidRPr="00A9637A" w14:paraId="32C29FFB" w14:textId="77777777" w:rsidTr="00037424">
        <w:trPr>
          <w:trHeight w:val="1065"/>
        </w:trPr>
        <w:tc>
          <w:tcPr>
            <w:tcW w:w="984" w:type="dxa"/>
            <w:tcBorders>
              <w:top w:val="single" w:sz="4" w:space="0" w:color="000000"/>
              <w:left w:val="single" w:sz="4" w:space="0" w:color="000000"/>
              <w:bottom w:val="single" w:sz="4" w:space="0" w:color="000000"/>
              <w:right w:val="single" w:sz="4" w:space="0" w:color="000000"/>
            </w:tcBorders>
            <w:vAlign w:val="center"/>
          </w:tcPr>
          <w:p w14:paraId="4A1DDA32" w14:textId="73CD14AD" w:rsidR="00FF6C1F" w:rsidRPr="00A9637A" w:rsidRDefault="00FF6C1F" w:rsidP="00FF6C1F">
            <w:pPr>
              <w:rPr>
                <w:rFonts w:cstheme="minorHAnsi"/>
                <w:sz w:val="24"/>
                <w:szCs w:val="24"/>
              </w:rPr>
            </w:pPr>
            <w:r w:rsidRPr="00A9637A">
              <w:rPr>
                <w:rFonts w:ascii="Calibri" w:hAnsi="Calibri"/>
                <w:sz w:val="24"/>
                <w:szCs w:val="24"/>
              </w:rPr>
              <w:t>11.2</w:t>
            </w:r>
          </w:p>
        </w:tc>
        <w:tc>
          <w:tcPr>
            <w:tcW w:w="3615" w:type="dxa"/>
            <w:tcBorders>
              <w:top w:val="single" w:sz="4" w:space="0" w:color="000000"/>
              <w:left w:val="single" w:sz="4" w:space="0" w:color="000000"/>
              <w:bottom w:val="single" w:sz="4" w:space="0" w:color="000000"/>
              <w:right w:val="single" w:sz="4" w:space="0" w:color="000000"/>
            </w:tcBorders>
          </w:tcPr>
          <w:p w14:paraId="218D0022" w14:textId="7D2428BF" w:rsidR="00FF6C1F" w:rsidRPr="00A9637A" w:rsidRDefault="00FF6C1F" w:rsidP="00FF6C1F">
            <w:pPr>
              <w:rPr>
                <w:rFonts w:eastAsia="Calibri" w:cstheme="minorHAnsi"/>
                <w:sz w:val="24"/>
                <w:szCs w:val="24"/>
              </w:rPr>
            </w:pPr>
            <w:proofErr w:type="gramStart"/>
            <w:r w:rsidRPr="00A9637A">
              <w:rPr>
                <w:rFonts w:ascii="Calibri" w:hAnsi="Calibri"/>
                <w:sz w:val="24"/>
                <w:szCs w:val="24"/>
              </w:rPr>
              <w:t>The CMHSP</w:t>
            </w:r>
            <w:proofErr w:type="gramEnd"/>
            <w:r w:rsidRPr="00A9637A">
              <w:rPr>
                <w:rFonts w:ascii="Calibri" w:hAnsi="Calibri"/>
                <w:sz w:val="24"/>
                <w:szCs w:val="24"/>
              </w:rPr>
              <w:t xml:space="preserve"> implements applicable practice guidelines in a manner that considers the needs of members served by the CMHSP.</w:t>
            </w:r>
          </w:p>
        </w:tc>
        <w:tc>
          <w:tcPr>
            <w:tcW w:w="2487" w:type="dxa"/>
            <w:tcBorders>
              <w:top w:val="single" w:sz="4" w:space="0" w:color="000000"/>
              <w:left w:val="single" w:sz="4" w:space="0" w:color="000000"/>
              <w:bottom w:val="single" w:sz="4" w:space="0" w:color="000000"/>
              <w:right w:val="single" w:sz="4" w:space="0" w:color="000000"/>
            </w:tcBorders>
          </w:tcPr>
          <w:p w14:paraId="014DBBCB" w14:textId="6EF05E65" w:rsidR="00FF6C1F" w:rsidRPr="00A9637A" w:rsidRDefault="00FF6C1F" w:rsidP="00FF6C1F">
            <w:pPr>
              <w:rPr>
                <w:rFonts w:cstheme="minorHAnsi"/>
                <w:sz w:val="24"/>
                <w:szCs w:val="24"/>
              </w:rPr>
            </w:pPr>
            <w:r w:rsidRPr="00A9637A">
              <w:rPr>
                <w:rFonts w:ascii="Calibri" w:hAnsi="Calibri"/>
                <w:sz w:val="24"/>
                <w:szCs w:val="24"/>
              </w:rPr>
              <w:t>HSAG Standard XI, Element 2; 42 CFR 438.236(b)(2); 42 CFR 457.1233(c); LRE Policy 5.15; MDHHS/PIHP Contract.</w:t>
            </w:r>
          </w:p>
        </w:tc>
        <w:tc>
          <w:tcPr>
            <w:tcW w:w="2500" w:type="dxa"/>
            <w:tcBorders>
              <w:top w:val="single" w:sz="4" w:space="0" w:color="000000"/>
              <w:left w:val="single" w:sz="4" w:space="0" w:color="000000"/>
              <w:bottom w:val="single" w:sz="4" w:space="0" w:color="000000"/>
              <w:right w:val="single" w:sz="4" w:space="0" w:color="000000"/>
            </w:tcBorders>
          </w:tcPr>
          <w:p w14:paraId="42F7EA1F" w14:textId="50E169FA" w:rsidR="00FF6C1F" w:rsidRPr="00A9637A" w:rsidRDefault="00FF6C1F" w:rsidP="00FF6C1F">
            <w:pPr>
              <w:rPr>
                <w:rFonts w:cstheme="minorHAnsi"/>
                <w:sz w:val="24"/>
                <w:szCs w:val="24"/>
              </w:rPr>
            </w:pPr>
            <w:r w:rsidRPr="00A9637A">
              <w:rPr>
                <w:rFonts w:ascii="Calibri" w:hAnsi="Calibri"/>
                <w:sz w:val="24"/>
                <w:szCs w:val="24"/>
              </w:rPr>
              <w:t>CMHSP QAPIP materials, population or utilization data, member experience information, input from consumer organizations or community partners when applicable, clinical leadership or committee minutes, person-centered planning review results, service array analysis, and examples showing applicable guidelines are relevant to the members and services provided by the CMHSP.</w:t>
            </w:r>
          </w:p>
        </w:tc>
        <w:tc>
          <w:tcPr>
            <w:tcW w:w="2263" w:type="dxa"/>
            <w:tcBorders>
              <w:top w:val="single" w:sz="4" w:space="0" w:color="000000"/>
              <w:left w:val="single" w:sz="4" w:space="0" w:color="000000"/>
              <w:bottom w:val="single" w:sz="4" w:space="0" w:color="000000"/>
              <w:right w:val="single" w:sz="4" w:space="0" w:color="000000"/>
            </w:tcBorders>
          </w:tcPr>
          <w:p w14:paraId="762C8BA1" w14:textId="72AB73C9" w:rsidR="00FF6C1F" w:rsidRPr="00A9637A" w:rsidRDefault="00FF6C1F" w:rsidP="00FF6C1F">
            <w:pPr>
              <w:rPr>
                <w:rFonts w:cstheme="minorHAnsi"/>
                <w:sz w:val="24"/>
                <w:szCs w:val="24"/>
              </w:rPr>
            </w:pPr>
            <w:r w:rsidRPr="00A9637A">
              <w:rPr>
                <w:rFonts w:ascii="Calibri" w:hAnsi="Calibri"/>
                <w:sz w:val="24"/>
                <w:szCs w:val="24"/>
              </w:rPr>
              <w:t xml:space="preserve">Assess whether the CMHSP can describe how beneficiary needs are considered when implementing practice guidelines, such as through population served, diagnoses, utilization trends, member experience data, input from consumer organizations or community partners when applicable, QAPIP priorities, </w:t>
            </w:r>
            <w:r w:rsidRPr="00A9637A">
              <w:rPr>
                <w:rFonts w:ascii="Calibri" w:hAnsi="Calibri"/>
                <w:sz w:val="24"/>
                <w:szCs w:val="24"/>
              </w:rPr>
              <w:lastRenderedPageBreak/>
              <w:t>person-centered planning, clinical leadership review, or participation in LRE ROAT discussions.</w:t>
            </w:r>
          </w:p>
        </w:tc>
        <w:tc>
          <w:tcPr>
            <w:tcW w:w="2541" w:type="dxa"/>
          </w:tcPr>
          <w:p w14:paraId="3B92BCC4" w14:textId="36A213F1" w:rsidR="00FF6C1F" w:rsidRPr="00A9637A" w:rsidRDefault="00FF6C1F" w:rsidP="00FF6C1F">
            <w:pPr>
              <w:rPr>
                <w:rFonts w:cstheme="minorHAnsi"/>
                <w:sz w:val="24"/>
                <w:szCs w:val="24"/>
              </w:rPr>
            </w:pPr>
          </w:p>
        </w:tc>
      </w:tr>
      <w:tr w:rsidR="002C5995" w:rsidRPr="00A9637A" w14:paraId="01C6CDCE" w14:textId="77777777" w:rsidTr="00955882">
        <w:trPr>
          <w:trHeight w:val="593"/>
        </w:trPr>
        <w:tc>
          <w:tcPr>
            <w:tcW w:w="984" w:type="dxa"/>
            <w:tcBorders>
              <w:top w:val="single" w:sz="4" w:space="0" w:color="000000"/>
              <w:left w:val="single" w:sz="4" w:space="0" w:color="000000"/>
              <w:bottom w:val="single" w:sz="4" w:space="0" w:color="000000"/>
              <w:right w:val="single" w:sz="4" w:space="0" w:color="000000"/>
            </w:tcBorders>
            <w:vAlign w:val="center"/>
          </w:tcPr>
          <w:p w14:paraId="22050A1F" w14:textId="22FB4728" w:rsidR="002C5995" w:rsidRPr="00A9637A" w:rsidRDefault="002C5995" w:rsidP="002C5995">
            <w:pPr>
              <w:rPr>
                <w:rFonts w:cstheme="minorHAnsi"/>
                <w:sz w:val="24"/>
                <w:szCs w:val="24"/>
              </w:rPr>
            </w:pPr>
            <w:r w:rsidRPr="00A9637A">
              <w:rPr>
                <w:rFonts w:ascii="Calibri" w:hAnsi="Calibri"/>
                <w:sz w:val="24"/>
                <w:szCs w:val="24"/>
              </w:rPr>
              <w:t>11.3</w:t>
            </w:r>
          </w:p>
        </w:tc>
        <w:tc>
          <w:tcPr>
            <w:tcW w:w="3615" w:type="dxa"/>
            <w:tcBorders>
              <w:top w:val="single" w:sz="4" w:space="0" w:color="000000"/>
              <w:left w:val="single" w:sz="4" w:space="0" w:color="000000"/>
              <w:bottom w:val="single" w:sz="4" w:space="0" w:color="000000"/>
              <w:right w:val="single" w:sz="4" w:space="0" w:color="000000"/>
            </w:tcBorders>
          </w:tcPr>
          <w:p w14:paraId="366212B7" w14:textId="306E888C" w:rsidR="002C5995" w:rsidRPr="00A9637A" w:rsidRDefault="002C5995" w:rsidP="002C5995">
            <w:pPr>
              <w:rPr>
                <w:rFonts w:eastAsia="Calibri" w:cstheme="minorHAnsi"/>
                <w:sz w:val="24"/>
                <w:szCs w:val="24"/>
              </w:rPr>
            </w:pPr>
            <w:r w:rsidRPr="00A9637A">
              <w:rPr>
                <w:rFonts w:ascii="Calibri" w:hAnsi="Calibri"/>
                <w:sz w:val="24"/>
                <w:szCs w:val="24"/>
              </w:rPr>
              <w:t>The CMHSP participates in LRE’s consultation process for adopted practice guidelines and provides input, as applicable, through network provider, clinical, UM, ROAT, or other regional forums.</w:t>
            </w:r>
          </w:p>
        </w:tc>
        <w:tc>
          <w:tcPr>
            <w:tcW w:w="2487" w:type="dxa"/>
            <w:tcBorders>
              <w:top w:val="single" w:sz="4" w:space="0" w:color="000000"/>
              <w:left w:val="single" w:sz="4" w:space="0" w:color="000000"/>
              <w:bottom w:val="single" w:sz="4" w:space="0" w:color="000000"/>
              <w:right w:val="single" w:sz="4" w:space="0" w:color="000000"/>
            </w:tcBorders>
          </w:tcPr>
          <w:p w14:paraId="6B74CCF2" w14:textId="13D87F30" w:rsidR="002C5995" w:rsidRPr="00A9637A" w:rsidRDefault="002C5995" w:rsidP="002C5995">
            <w:pPr>
              <w:rPr>
                <w:rFonts w:cstheme="minorHAnsi"/>
                <w:sz w:val="24"/>
                <w:szCs w:val="24"/>
              </w:rPr>
            </w:pPr>
            <w:r w:rsidRPr="00A9637A">
              <w:rPr>
                <w:rFonts w:ascii="Calibri" w:hAnsi="Calibri"/>
                <w:sz w:val="24"/>
                <w:szCs w:val="24"/>
              </w:rPr>
              <w:t>HSAG Standard XI, Element 3; 42 CFR 438.236(b)(3); 42 CFR 457.1233(c); LRE Policy 5.15; MDHHS/PIHP Contract.</w:t>
            </w:r>
          </w:p>
        </w:tc>
        <w:tc>
          <w:tcPr>
            <w:tcW w:w="2500" w:type="dxa"/>
            <w:tcBorders>
              <w:top w:val="single" w:sz="4" w:space="0" w:color="000000"/>
              <w:left w:val="single" w:sz="4" w:space="0" w:color="000000"/>
              <w:bottom w:val="single" w:sz="4" w:space="0" w:color="000000"/>
              <w:right w:val="single" w:sz="4" w:space="0" w:color="000000"/>
            </w:tcBorders>
          </w:tcPr>
          <w:p w14:paraId="7AE75147" w14:textId="111D2C64" w:rsidR="002C5995" w:rsidRPr="00A9637A" w:rsidRDefault="002C5995" w:rsidP="002C5995">
            <w:pPr>
              <w:rPr>
                <w:rFonts w:cstheme="minorHAnsi"/>
                <w:sz w:val="24"/>
                <w:szCs w:val="24"/>
              </w:rPr>
            </w:pPr>
            <w:r w:rsidRPr="00A9637A">
              <w:rPr>
                <w:rFonts w:ascii="Calibri" w:hAnsi="Calibri"/>
                <w:sz w:val="24"/>
                <w:szCs w:val="24"/>
              </w:rPr>
              <w:t>ROAT minutes, UM or clinical committee minutes, provider meeting minutes, provider feedback, consumer organization or community partner input when applicable, emails or communications showing CMHSP/provider review or input, documentation of participation in regional consultation processes, or evidence that CMHSP leadership reviewed and responded to LRE-adopted guideline updates.</w:t>
            </w:r>
          </w:p>
        </w:tc>
        <w:tc>
          <w:tcPr>
            <w:tcW w:w="2263" w:type="dxa"/>
            <w:tcBorders>
              <w:top w:val="single" w:sz="4" w:space="0" w:color="000000"/>
              <w:left w:val="single" w:sz="4" w:space="0" w:color="000000"/>
              <w:bottom w:val="single" w:sz="4" w:space="0" w:color="000000"/>
              <w:right w:val="single" w:sz="4" w:space="0" w:color="000000"/>
            </w:tcBorders>
          </w:tcPr>
          <w:p w14:paraId="17260A41" w14:textId="273CA882" w:rsidR="002C5995" w:rsidRPr="00A9637A" w:rsidRDefault="002C5995" w:rsidP="002C5995">
            <w:pPr>
              <w:rPr>
                <w:rFonts w:cstheme="minorHAnsi"/>
                <w:sz w:val="24"/>
                <w:szCs w:val="24"/>
              </w:rPr>
            </w:pPr>
            <w:r w:rsidRPr="00A9637A">
              <w:rPr>
                <w:rFonts w:ascii="Calibri" w:hAnsi="Calibri"/>
                <w:sz w:val="24"/>
                <w:szCs w:val="24"/>
              </w:rPr>
              <w:t xml:space="preserve">Look for evidence that the CMHSP, its providers, consumer organizations, or community partners had an opportunity to participate in, review, discuss, or provide input on guidelines adopted or implemented in the region, when applicable. Acceptable evidence may include ROAT minutes, clinical or UM committee minutes, provider meeting minutes, </w:t>
            </w:r>
            <w:r w:rsidRPr="00A9637A">
              <w:rPr>
                <w:rFonts w:ascii="Calibri" w:hAnsi="Calibri"/>
                <w:sz w:val="24"/>
                <w:szCs w:val="24"/>
              </w:rPr>
              <w:lastRenderedPageBreak/>
              <w:t>stakeholder feedback, consultation with medical/clinical leadership, or documented provider/community partner communication.</w:t>
            </w:r>
          </w:p>
        </w:tc>
        <w:tc>
          <w:tcPr>
            <w:tcW w:w="2541" w:type="dxa"/>
          </w:tcPr>
          <w:p w14:paraId="29642406" w14:textId="06A6589C" w:rsidR="002C5995" w:rsidRPr="00A9637A" w:rsidRDefault="002C5995" w:rsidP="002C5995">
            <w:pPr>
              <w:rPr>
                <w:rFonts w:cstheme="minorHAnsi"/>
                <w:sz w:val="24"/>
                <w:szCs w:val="24"/>
              </w:rPr>
            </w:pPr>
          </w:p>
        </w:tc>
      </w:tr>
      <w:tr w:rsidR="00707201" w:rsidRPr="00A9637A" w14:paraId="101445C6" w14:textId="77777777" w:rsidTr="00111BFF">
        <w:trPr>
          <w:trHeight w:val="620"/>
        </w:trPr>
        <w:tc>
          <w:tcPr>
            <w:tcW w:w="984" w:type="dxa"/>
            <w:tcBorders>
              <w:top w:val="single" w:sz="4" w:space="0" w:color="000000"/>
              <w:left w:val="single" w:sz="4" w:space="0" w:color="000000"/>
              <w:bottom w:val="single" w:sz="4" w:space="0" w:color="000000"/>
              <w:right w:val="single" w:sz="4" w:space="0" w:color="000000"/>
            </w:tcBorders>
            <w:vAlign w:val="center"/>
          </w:tcPr>
          <w:p w14:paraId="47001239" w14:textId="03808457" w:rsidR="00707201" w:rsidRPr="00A9637A" w:rsidRDefault="00707201" w:rsidP="00707201">
            <w:pPr>
              <w:rPr>
                <w:rFonts w:cstheme="minorHAnsi"/>
                <w:sz w:val="24"/>
                <w:szCs w:val="24"/>
              </w:rPr>
            </w:pPr>
            <w:r w:rsidRPr="00A9637A">
              <w:rPr>
                <w:rFonts w:ascii="Calibri" w:hAnsi="Calibri"/>
                <w:sz w:val="24"/>
                <w:szCs w:val="24"/>
              </w:rPr>
              <w:t>11.4</w:t>
            </w:r>
          </w:p>
        </w:tc>
        <w:tc>
          <w:tcPr>
            <w:tcW w:w="3615" w:type="dxa"/>
            <w:tcBorders>
              <w:top w:val="single" w:sz="4" w:space="0" w:color="000000"/>
              <w:left w:val="single" w:sz="4" w:space="0" w:color="000000"/>
              <w:bottom w:val="single" w:sz="4" w:space="0" w:color="000000"/>
              <w:right w:val="single" w:sz="4" w:space="0" w:color="000000"/>
            </w:tcBorders>
          </w:tcPr>
          <w:p w14:paraId="68C7E268" w14:textId="65852543" w:rsidR="00707201" w:rsidRPr="00A9637A" w:rsidRDefault="00707201" w:rsidP="00707201">
            <w:pPr>
              <w:rPr>
                <w:rFonts w:eastAsia="Calibri" w:cstheme="minorHAnsi"/>
                <w:sz w:val="24"/>
                <w:szCs w:val="24"/>
              </w:rPr>
            </w:pPr>
            <w:r w:rsidRPr="00A9637A">
              <w:rPr>
                <w:rFonts w:ascii="Calibri" w:hAnsi="Calibri"/>
                <w:sz w:val="24"/>
                <w:szCs w:val="24"/>
              </w:rPr>
              <w:t>The CMHSP maintains alignment with LRE-adopted practice guidelines that are reviewed and updated periodically, and updates local materials, processes, and communications when applicable guidance changes.</w:t>
            </w:r>
          </w:p>
        </w:tc>
        <w:tc>
          <w:tcPr>
            <w:tcW w:w="2487" w:type="dxa"/>
            <w:tcBorders>
              <w:top w:val="single" w:sz="4" w:space="0" w:color="000000"/>
              <w:left w:val="single" w:sz="4" w:space="0" w:color="000000"/>
              <w:bottom w:val="single" w:sz="4" w:space="0" w:color="000000"/>
              <w:right w:val="single" w:sz="4" w:space="0" w:color="000000"/>
            </w:tcBorders>
          </w:tcPr>
          <w:p w14:paraId="5745977B" w14:textId="764E096A" w:rsidR="00707201" w:rsidRPr="00A9637A" w:rsidRDefault="00707201" w:rsidP="00707201">
            <w:pPr>
              <w:rPr>
                <w:rFonts w:cstheme="minorHAnsi"/>
                <w:sz w:val="24"/>
                <w:szCs w:val="24"/>
              </w:rPr>
            </w:pPr>
            <w:r w:rsidRPr="00A9637A">
              <w:rPr>
                <w:rFonts w:ascii="Calibri" w:hAnsi="Calibri"/>
                <w:sz w:val="24"/>
                <w:szCs w:val="24"/>
              </w:rPr>
              <w:t>HSAG Standard XI, Element 4; 42 CFR 438.236(b)(4); 42 CFR 457.1233(c); LRE Policy 5.15; MDHHS/PIHP Contract.</w:t>
            </w:r>
          </w:p>
        </w:tc>
        <w:tc>
          <w:tcPr>
            <w:tcW w:w="2500" w:type="dxa"/>
            <w:tcBorders>
              <w:top w:val="single" w:sz="4" w:space="0" w:color="000000"/>
              <w:left w:val="single" w:sz="4" w:space="0" w:color="000000"/>
              <w:bottom w:val="single" w:sz="4" w:space="0" w:color="000000"/>
              <w:right w:val="single" w:sz="4" w:space="0" w:color="000000"/>
            </w:tcBorders>
          </w:tcPr>
          <w:p w14:paraId="23D13283" w14:textId="7195AB78" w:rsidR="00707201" w:rsidRPr="00A9637A" w:rsidRDefault="00707201" w:rsidP="00707201">
            <w:pPr>
              <w:rPr>
                <w:rFonts w:cstheme="minorHAnsi"/>
                <w:sz w:val="24"/>
                <w:szCs w:val="24"/>
              </w:rPr>
            </w:pPr>
            <w:r w:rsidRPr="00A9637A">
              <w:rPr>
                <w:rFonts w:ascii="Calibri" w:hAnsi="Calibri"/>
                <w:sz w:val="24"/>
                <w:szCs w:val="24"/>
              </w:rPr>
              <w:t>CMHSP policy or procedure review logs, QAPIP or committee calendars, meeting minutes, website or provider-material update records, staff or provider communication about updated guidelines, and evidence that local documents/processes were updated when LRE or MDHHS guidance changed.</w:t>
            </w:r>
          </w:p>
        </w:tc>
        <w:tc>
          <w:tcPr>
            <w:tcW w:w="2263" w:type="dxa"/>
            <w:tcBorders>
              <w:top w:val="single" w:sz="4" w:space="0" w:color="000000"/>
              <w:left w:val="single" w:sz="4" w:space="0" w:color="000000"/>
              <w:bottom w:val="single" w:sz="4" w:space="0" w:color="000000"/>
              <w:right w:val="single" w:sz="4" w:space="0" w:color="000000"/>
            </w:tcBorders>
          </w:tcPr>
          <w:p w14:paraId="2B8B837D" w14:textId="15E016FA" w:rsidR="00707201" w:rsidRPr="00A9637A" w:rsidRDefault="00707201" w:rsidP="00707201">
            <w:pPr>
              <w:rPr>
                <w:rFonts w:cstheme="minorHAnsi"/>
                <w:sz w:val="24"/>
                <w:szCs w:val="24"/>
              </w:rPr>
            </w:pPr>
            <w:r w:rsidRPr="00A9637A">
              <w:rPr>
                <w:rFonts w:ascii="Calibri" w:hAnsi="Calibri"/>
                <w:sz w:val="24"/>
                <w:szCs w:val="24"/>
              </w:rPr>
              <w:t xml:space="preserve">Confirm the CMHSP can demonstrate how it remains current with LRE-adopted and MDHHS-required practice guidelines and how local policies, procedures, training, webpages, or provider materials are updated when LRE or MDHHS guidance changes. Note any inconsistent review </w:t>
            </w:r>
            <w:r w:rsidRPr="00A9637A">
              <w:rPr>
                <w:rFonts w:ascii="Calibri" w:hAnsi="Calibri"/>
                <w:sz w:val="24"/>
                <w:szCs w:val="24"/>
              </w:rPr>
              <w:lastRenderedPageBreak/>
              <w:t>timeframe as a follow-up item consistent with HSAG’s recommendation.</w:t>
            </w:r>
          </w:p>
        </w:tc>
        <w:tc>
          <w:tcPr>
            <w:tcW w:w="2541" w:type="dxa"/>
          </w:tcPr>
          <w:p w14:paraId="22401938" w14:textId="6E2B1A8C" w:rsidR="00707201" w:rsidRPr="00A9637A" w:rsidRDefault="00707201" w:rsidP="00707201">
            <w:pPr>
              <w:rPr>
                <w:rFonts w:cstheme="minorHAnsi"/>
                <w:sz w:val="24"/>
                <w:szCs w:val="24"/>
              </w:rPr>
            </w:pPr>
          </w:p>
        </w:tc>
      </w:tr>
      <w:tr w:rsidR="00B72CDA" w:rsidRPr="00A9637A" w14:paraId="4D59D4B9" w14:textId="77777777" w:rsidTr="00A30C73">
        <w:trPr>
          <w:trHeight w:val="620"/>
        </w:trPr>
        <w:tc>
          <w:tcPr>
            <w:tcW w:w="984" w:type="dxa"/>
            <w:tcBorders>
              <w:top w:val="single" w:sz="4" w:space="0" w:color="000000"/>
              <w:left w:val="single" w:sz="4" w:space="0" w:color="000000"/>
              <w:bottom w:val="single" w:sz="4" w:space="0" w:color="000000"/>
              <w:right w:val="single" w:sz="4" w:space="0" w:color="000000"/>
            </w:tcBorders>
            <w:vAlign w:val="center"/>
          </w:tcPr>
          <w:p w14:paraId="253DDA14" w14:textId="77015A28" w:rsidR="00B72CDA" w:rsidRPr="00A9637A" w:rsidRDefault="00B72CDA" w:rsidP="00B72CDA">
            <w:pPr>
              <w:rPr>
                <w:rFonts w:cstheme="minorHAnsi"/>
                <w:sz w:val="24"/>
                <w:szCs w:val="24"/>
              </w:rPr>
            </w:pPr>
            <w:r w:rsidRPr="00A9637A">
              <w:rPr>
                <w:rFonts w:ascii="Calibri" w:hAnsi="Calibri"/>
                <w:sz w:val="24"/>
                <w:szCs w:val="24"/>
              </w:rPr>
              <w:t>11.5</w:t>
            </w:r>
          </w:p>
        </w:tc>
        <w:tc>
          <w:tcPr>
            <w:tcW w:w="3615" w:type="dxa"/>
            <w:tcBorders>
              <w:top w:val="single" w:sz="4" w:space="0" w:color="000000"/>
              <w:left w:val="single" w:sz="4" w:space="0" w:color="000000"/>
              <w:bottom w:val="single" w:sz="4" w:space="0" w:color="000000"/>
              <w:right w:val="single" w:sz="4" w:space="0" w:color="000000"/>
            </w:tcBorders>
          </w:tcPr>
          <w:p w14:paraId="50E3F41A" w14:textId="54B2D72B" w:rsidR="00B72CDA" w:rsidRPr="00A9637A" w:rsidRDefault="00B72CDA" w:rsidP="00B72CDA">
            <w:pPr>
              <w:rPr>
                <w:rFonts w:eastAsia="Calibri" w:cstheme="minorHAnsi"/>
                <w:sz w:val="24"/>
                <w:szCs w:val="24"/>
              </w:rPr>
            </w:pPr>
            <w:r w:rsidRPr="00A9637A">
              <w:rPr>
                <w:rFonts w:ascii="Calibri" w:hAnsi="Calibri"/>
                <w:sz w:val="24"/>
                <w:szCs w:val="24"/>
              </w:rPr>
              <w:t>The CMHSP disseminates or makes available applicable LRE-adopted practice guidelines to affected providers and to members and potential members upon request.</w:t>
            </w:r>
          </w:p>
        </w:tc>
        <w:tc>
          <w:tcPr>
            <w:tcW w:w="2487" w:type="dxa"/>
            <w:tcBorders>
              <w:top w:val="single" w:sz="4" w:space="0" w:color="000000"/>
              <w:left w:val="single" w:sz="4" w:space="0" w:color="000000"/>
              <w:bottom w:val="single" w:sz="4" w:space="0" w:color="000000"/>
              <w:right w:val="single" w:sz="4" w:space="0" w:color="000000"/>
            </w:tcBorders>
          </w:tcPr>
          <w:p w14:paraId="5418642F" w14:textId="424E58AF" w:rsidR="00B72CDA" w:rsidRPr="00A9637A" w:rsidRDefault="00B72CDA" w:rsidP="00B72CDA">
            <w:pPr>
              <w:rPr>
                <w:rFonts w:cstheme="minorHAnsi"/>
                <w:sz w:val="24"/>
                <w:szCs w:val="24"/>
              </w:rPr>
            </w:pPr>
            <w:r w:rsidRPr="00A9637A">
              <w:rPr>
                <w:rFonts w:ascii="Calibri" w:hAnsi="Calibri"/>
                <w:sz w:val="24"/>
                <w:szCs w:val="24"/>
              </w:rPr>
              <w:t>HSAG Standard XI, Element 5; 42 CFR 438.236(c); 42 CFR 457.1233(c); Contract Schedule A; LRE Policy 5.15.</w:t>
            </w:r>
          </w:p>
        </w:tc>
        <w:tc>
          <w:tcPr>
            <w:tcW w:w="2500" w:type="dxa"/>
            <w:tcBorders>
              <w:top w:val="single" w:sz="4" w:space="0" w:color="000000"/>
              <w:left w:val="single" w:sz="4" w:space="0" w:color="000000"/>
              <w:bottom w:val="single" w:sz="4" w:space="0" w:color="000000"/>
              <w:right w:val="single" w:sz="4" w:space="0" w:color="000000"/>
            </w:tcBorders>
          </w:tcPr>
          <w:p w14:paraId="46C837A4" w14:textId="52AA3E0B" w:rsidR="00B72CDA" w:rsidRPr="00A9637A" w:rsidRDefault="00B72CDA" w:rsidP="00B72CDA">
            <w:pPr>
              <w:rPr>
                <w:rFonts w:cstheme="minorHAnsi"/>
                <w:sz w:val="24"/>
                <w:szCs w:val="24"/>
              </w:rPr>
            </w:pPr>
            <w:r w:rsidRPr="00A9637A">
              <w:rPr>
                <w:rFonts w:ascii="Calibri" w:hAnsi="Calibri"/>
                <w:sz w:val="24"/>
                <w:szCs w:val="24"/>
              </w:rPr>
              <w:t>Provider manual, provider website or portal, CMHSP public webpage, member handbook, provider newsletter, provider/staff email communication, training or orientation materials, meeting minutes, screenshots demonstrating guideline availability, member request procedures, tracking logs or examples of fulfilled requests when applicable, and documentation identifying the dissemination method, audience, date or frequency, and location where guidelines are available.</w:t>
            </w:r>
          </w:p>
        </w:tc>
        <w:tc>
          <w:tcPr>
            <w:tcW w:w="2263" w:type="dxa"/>
            <w:tcBorders>
              <w:top w:val="single" w:sz="4" w:space="0" w:color="000000"/>
              <w:left w:val="single" w:sz="4" w:space="0" w:color="000000"/>
              <w:bottom w:val="single" w:sz="4" w:space="0" w:color="000000"/>
              <w:right w:val="single" w:sz="4" w:space="0" w:color="000000"/>
            </w:tcBorders>
          </w:tcPr>
          <w:p w14:paraId="0A0B5CE2" w14:textId="681B0648" w:rsidR="00B72CDA" w:rsidRPr="00A9637A" w:rsidRDefault="00B72CDA" w:rsidP="00B72CDA">
            <w:pPr>
              <w:rPr>
                <w:rFonts w:cstheme="minorHAnsi"/>
                <w:sz w:val="24"/>
                <w:szCs w:val="24"/>
              </w:rPr>
            </w:pPr>
            <w:r w:rsidRPr="00A9637A">
              <w:rPr>
                <w:rFonts w:ascii="Calibri" w:hAnsi="Calibri"/>
                <w:sz w:val="24"/>
                <w:szCs w:val="24"/>
              </w:rPr>
              <w:t>Verify that the CMHSP makes LRE-adopted practice guidelines available to affected providers and can explain how members or potential members may request or access applicable guidelines. Evidence should include the dissemination method, audience, date or frequency, and at least one example of communication or public availability.</w:t>
            </w:r>
          </w:p>
        </w:tc>
        <w:tc>
          <w:tcPr>
            <w:tcW w:w="2541" w:type="dxa"/>
          </w:tcPr>
          <w:p w14:paraId="70F6F675" w14:textId="77777777" w:rsidR="00B72CDA" w:rsidRPr="00A9637A" w:rsidRDefault="00B72CDA" w:rsidP="00B72CDA">
            <w:pPr>
              <w:rPr>
                <w:rFonts w:cstheme="minorHAnsi"/>
                <w:sz w:val="24"/>
                <w:szCs w:val="24"/>
              </w:rPr>
            </w:pPr>
          </w:p>
        </w:tc>
      </w:tr>
      <w:tr w:rsidR="00E07D1E" w:rsidRPr="00A9637A" w14:paraId="5DFB5BF1" w14:textId="77777777" w:rsidTr="00CD3E0B">
        <w:tc>
          <w:tcPr>
            <w:tcW w:w="984" w:type="dxa"/>
            <w:tcBorders>
              <w:top w:val="single" w:sz="4" w:space="0" w:color="000000"/>
              <w:left w:val="single" w:sz="4" w:space="0" w:color="000000"/>
              <w:bottom w:val="single" w:sz="4" w:space="0" w:color="000000"/>
              <w:right w:val="single" w:sz="4" w:space="0" w:color="000000"/>
            </w:tcBorders>
            <w:vAlign w:val="center"/>
          </w:tcPr>
          <w:p w14:paraId="0EF883D5" w14:textId="3C3CF4E2" w:rsidR="00E07D1E" w:rsidRPr="00A9637A" w:rsidRDefault="00E07D1E" w:rsidP="00E07D1E">
            <w:pPr>
              <w:rPr>
                <w:rFonts w:cstheme="minorHAnsi"/>
                <w:sz w:val="24"/>
                <w:szCs w:val="24"/>
              </w:rPr>
            </w:pPr>
            <w:r w:rsidRPr="00A9637A">
              <w:rPr>
                <w:rFonts w:ascii="Calibri" w:hAnsi="Calibri"/>
                <w:sz w:val="24"/>
                <w:szCs w:val="24"/>
              </w:rPr>
              <w:lastRenderedPageBreak/>
              <w:t>11.6</w:t>
            </w:r>
          </w:p>
        </w:tc>
        <w:tc>
          <w:tcPr>
            <w:tcW w:w="3615" w:type="dxa"/>
            <w:tcBorders>
              <w:top w:val="single" w:sz="4" w:space="0" w:color="000000"/>
              <w:left w:val="single" w:sz="4" w:space="0" w:color="000000"/>
              <w:bottom w:val="single" w:sz="4" w:space="0" w:color="000000"/>
              <w:right w:val="single" w:sz="4" w:space="0" w:color="000000"/>
            </w:tcBorders>
          </w:tcPr>
          <w:p w14:paraId="6EE643A4" w14:textId="3EC6A717" w:rsidR="00E07D1E" w:rsidRPr="00A9637A" w:rsidRDefault="00E07D1E" w:rsidP="00E07D1E">
            <w:pPr>
              <w:rPr>
                <w:rFonts w:cstheme="minorHAnsi"/>
                <w:sz w:val="24"/>
                <w:szCs w:val="24"/>
              </w:rPr>
            </w:pPr>
            <w:r w:rsidRPr="00A9637A">
              <w:rPr>
                <w:rFonts w:ascii="Calibri" w:hAnsi="Calibri"/>
                <w:sz w:val="24"/>
                <w:szCs w:val="24"/>
              </w:rPr>
              <w:t>The CMHSP plans and delivers services in a manner that reflects applicable MDHHS practice guideline values and policy expectations, including Inclusion, Housing, Consumerism, Personal Care in Non-Specialized Residential Settings, Family-Driven and Youth-Guided Policy and Practice Guideline, and Employment Works! Policy.</w:t>
            </w:r>
          </w:p>
        </w:tc>
        <w:tc>
          <w:tcPr>
            <w:tcW w:w="2487" w:type="dxa"/>
            <w:tcBorders>
              <w:top w:val="single" w:sz="4" w:space="0" w:color="000000"/>
              <w:left w:val="single" w:sz="4" w:space="0" w:color="000000"/>
              <w:bottom w:val="single" w:sz="4" w:space="0" w:color="000000"/>
              <w:right w:val="single" w:sz="4" w:space="0" w:color="000000"/>
            </w:tcBorders>
          </w:tcPr>
          <w:p w14:paraId="12BDCC70" w14:textId="672A4F3B" w:rsidR="00E07D1E" w:rsidRPr="00A9637A" w:rsidRDefault="00E07D1E" w:rsidP="00E07D1E">
            <w:pPr>
              <w:rPr>
                <w:rFonts w:cstheme="minorHAnsi"/>
                <w:sz w:val="24"/>
                <w:szCs w:val="24"/>
              </w:rPr>
            </w:pPr>
            <w:r w:rsidRPr="00A9637A">
              <w:rPr>
                <w:rFonts w:ascii="Calibri" w:hAnsi="Calibri"/>
                <w:sz w:val="24"/>
                <w:szCs w:val="24"/>
              </w:rPr>
              <w:t>HSAG Standard XI, Element 6; Contract Schedule A; MDHHS Practice Guidelines and Policies; LRE Policy 5.15; LRE-CMHSP Contract.</w:t>
            </w:r>
          </w:p>
        </w:tc>
        <w:tc>
          <w:tcPr>
            <w:tcW w:w="2500" w:type="dxa"/>
            <w:tcBorders>
              <w:top w:val="single" w:sz="4" w:space="0" w:color="000000"/>
              <w:left w:val="single" w:sz="4" w:space="0" w:color="000000"/>
              <w:bottom w:val="single" w:sz="4" w:space="0" w:color="000000"/>
              <w:right w:val="single" w:sz="4" w:space="0" w:color="000000"/>
            </w:tcBorders>
          </w:tcPr>
          <w:p w14:paraId="1658A0DC" w14:textId="5B7878AE" w:rsidR="00E07D1E" w:rsidRPr="00A9637A" w:rsidRDefault="00E07D1E" w:rsidP="00E07D1E">
            <w:pPr>
              <w:rPr>
                <w:rFonts w:cstheme="minorHAnsi"/>
                <w:sz w:val="24"/>
                <w:szCs w:val="24"/>
              </w:rPr>
            </w:pPr>
            <w:r w:rsidRPr="00A9637A">
              <w:rPr>
                <w:rFonts w:ascii="Calibri" w:hAnsi="Calibri"/>
                <w:sz w:val="24"/>
                <w:szCs w:val="24"/>
              </w:rPr>
              <w:t>CMHSP policies, procedures, clinical protocols, staff/provider training materials, supervision or coaching documentation, certification/credentialing/privileging verification when applicable, person-centered planning examples, chart review results, site review evidence, provider monitoring documentation, corrective action follow-up, fidelity review results when required by MDHHS or local QI processes, and examples showing service planning or delivery reflects applicable MDHHS practice guideline values.</w:t>
            </w:r>
          </w:p>
        </w:tc>
        <w:tc>
          <w:tcPr>
            <w:tcW w:w="2263" w:type="dxa"/>
            <w:tcBorders>
              <w:top w:val="single" w:sz="4" w:space="0" w:color="000000"/>
              <w:left w:val="single" w:sz="4" w:space="0" w:color="000000"/>
              <w:bottom w:val="single" w:sz="4" w:space="0" w:color="000000"/>
              <w:right w:val="single" w:sz="4" w:space="0" w:color="000000"/>
            </w:tcBorders>
          </w:tcPr>
          <w:p w14:paraId="611FC5ED" w14:textId="37BAA1F9" w:rsidR="00E07D1E" w:rsidRPr="00A9637A" w:rsidRDefault="00E07D1E" w:rsidP="00E07D1E">
            <w:pPr>
              <w:rPr>
                <w:rFonts w:cstheme="minorHAnsi"/>
                <w:sz w:val="24"/>
                <w:szCs w:val="24"/>
              </w:rPr>
            </w:pPr>
            <w:r w:rsidRPr="00A9637A">
              <w:rPr>
                <w:rFonts w:ascii="Calibri" w:hAnsi="Calibri"/>
                <w:sz w:val="24"/>
                <w:szCs w:val="24"/>
              </w:rPr>
              <w:t xml:space="preserve">Review whether the CMHSP can demonstrate that services are planned and delivered consistent with the values and expectations in required MDHHS practice guidelines and policies. Evidence may include policy alignment, staff/provider training, supervision or coaching, credentialing or privileging verification, chart review results, person-centered planning examples, provider monitoring, site review </w:t>
            </w:r>
            <w:r w:rsidRPr="00A9637A">
              <w:rPr>
                <w:rFonts w:ascii="Calibri" w:hAnsi="Calibri"/>
                <w:sz w:val="24"/>
                <w:szCs w:val="24"/>
              </w:rPr>
              <w:lastRenderedPageBreak/>
              <w:t>materials, corrective action follow-up, and fidelity review activity when required by MDHHS or local quality improvement processes.</w:t>
            </w:r>
          </w:p>
        </w:tc>
        <w:tc>
          <w:tcPr>
            <w:tcW w:w="2541" w:type="dxa"/>
          </w:tcPr>
          <w:p w14:paraId="1AF9032B" w14:textId="04E8B317" w:rsidR="00E07D1E" w:rsidRPr="00A9637A" w:rsidRDefault="00E07D1E" w:rsidP="00E07D1E">
            <w:pPr>
              <w:rPr>
                <w:rFonts w:cstheme="minorHAnsi"/>
                <w:sz w:val="24"/>
                <w:szCs w:val="24"/>
              </w:rPr>
            </w:pPr>
          </w:p>
        </w:tc>
      </w:tr>
      <w:tr w:rsidR="00A9637A" w:rsidRPr="00A9637A" w14:paraId="7580A6FD" w14:textId="77777777" w:rsidTr="0016599F">
        <w:tc>
          <w:tcPr>
            <w:tcW w:w="984" w:type="dxa"/>
            <w:tcBorders>
              <w:top w:val="single" w:sz="4" w:space="0" w:color="000000"/>
              <w:left w:val="single" w:sz="4" w:space="0" w:color="000000"/>
              <w:bottom w:val="single" w:sz="4" w:space="0" w:color="000000"/>
              <w:right w:val="single" w:sz="4" w:space="0" w:color="000000"/>
            </w:tcBorders>
            <w:vAlign w:val="center"/>
          </w:tcPr>
          <w:p w14:paraId="47199B2E" w14:textId="7F09CA57" w:rsidR="00A9637A" w:rsidRPr="00A9637A" w:rsidRDefault="00A9637A" w:rsidP="00A9637A">
            <w:pPr>
              <w:rPr>
                <w:rFonts w:cstheme="minorHAnsi"/>
                <w:sz w:val="24"/>
                <w:szCs w:val="24"/>
              </w:rPr>
            </w:pPr>
            <w:r w:rsidRPr="00A9637A">
              <w:rPr>
                <w:rFonts w:ascii="Calibri" w:hAnsi="Calibri"/>
                <w:sz w:val="24"/>
                <w:szCs w:val="24"/>
              </w:rPr>
              <w:t>11.7</w:t>
            </w:r>
          </w:p>
        </w:tc>
        <w:tc>
          <w:tcPr>
            <w:tcW w:w="3615" w:type="dxa"/>
            <w:tcBorders>
              <w:top w:val="single" w:sz="4" w:space="0" w:color="000000"/>
              <w:left w:val="single" w:sz="4" w:space="0" w:color="000000"/>
              <w:bottom w:val="single" w:sz="4" w:space="0" w:color="000000"/>
              <w:right w:val="single" w:sz="4" w:space="0" w:color="000000"/>
            </w:tcBorders>
          </w:tcPr>
          <w:p w14:paraId="3C6305FC" w14:textId="00473043" w:rsidR="00A9637A" w:rsidRPr="00A9637A" w:rsidRDefault="00A9637A" w:rsidP="00A9637A">
            <w:pPr>
              <w:rPr>
                <w:rFonts w:cstheme="minorHAnsi"/>
                <w:sz w:val="24"/>
                <w:szCs w:val="24"/>
              </w:rPr>
            </w:pPr>
            <w:r w:rsidRPr="00A9637A">
              <w:rPr>
                <w:rFonts w:ascii="Calibri" w:hAnsi="Calibri"/>
                <w:sz w:val="24"/>
                <w:szCs w:val="24"/>
              </w:rPr>
              <w:t xml:space="preserve">The CMHSP ensures decisions for utilization management, member education, coverage of services, person-centered planning, and other areas to which practice guidelines apply are consistent with applicable guidelines and criteria. Practice guidelines must not be used as arbitrary service caps, </w:t>
            </w:r>
            <w:proofErr w:type="gramStart"/>
            <w:r w:rsidRPr="00A9637A">
              <w:rPr>
                <w:rFonts w:ascii="Calibri" w:hAnsi="Calibri"/>
                <w:sz w:val="24"/>
                <w:szCs w:val="24"/>
              </w:rPr>
              <w:t>as a means to</w:t>
            </w:r>
            <w:proofErr w:type="gramEnd"/>
            <w:r w:rsidRPr="00A9637A">
              <w:rPr>
                <w:rFonts w:ascii="Calibri" w:hAnsi="Calibri"/>
                <w:sz w:val="24"/>
                <w:szCs w:val="24"/>
              </w:rPr>
              <w:t xml:space="preserve"> achieve budget reductions, or as a substitute for medical necessity criteria.</w:t>
            </w:r>
          </w:p>
        </w:tc>
        <w:tc>
          <w:tcPr>
            <w:tcW w:w="2487" w:type="dxa"/>
            <w:tcBorders>
              <w:top w:val="single" w:sz="4" w:space="0" w:color="000000"/>
              <w:left w:val="single" w:sz="4" w:space="0" w:color="000000"/>
              <w:bottom w:val="single" w:sz="4" w:space="0" w:color="000000"/>
              <w:right w:val="single" w:sz="4" w:space="0" w:color="000000"/>
            </w:tcBorders>
          </w:tcPr>
          <w:p w14:paraId="3DE958F5" w14:textId="659E4174" w:rsidR="00A9637A" w:rsidRPr="00A9637A" w:rsidRDefault="00A9637A" w:rsidP="00A9637A">
            <w:pPr>
              <w:rPr>
                <w:rFonts w:cstheme="minorHAnsi"/>
                <w:sz w:val="24"/>
                <w:szCs w:val="24"/>
              </w:rPr>
            </w:pPr>
            <w:r w:rsidRPr="00A9637A">
              <w:rPr>
                <w:rFonts w:ascii="Calibri" w:hAnsi="Calibri"/>
                <w:sz w:val="24"/>
                <w:szCs w:val="24"/>
              </w:rPr>
              <w:t>HSAG Standard XI, Element 7; 42 CFR 438.236(d); 42 CFR 457.1233(c); Contract Schedule A; LRE Policy 5.15; LRE Policy 5.0.</w:t>
            </w:r>
          </w:p>
        </w:tc>
        <w:tc>
          <w:tcPr>
            <w:tcW w:w="2500" w:type="dxa"/>
            <w:tcBorders>
              <w:top w:val="single" w:sz="4" w:space="0" w:color="000000"/>
              <w:left w:val="single" w:sz="4" w:space="0" w:color="000000"/>
              <w:bottom w:val="single" w:sz="4" w:space="0" w:color="000000"/>
              <w:right w:val="single" w:sz="4" w:space="0" w:color="000000"/>
            </w:tcBorders>
          </w:tcPr>
          <w:p w14:paraId="3C0682A0" w14:textId="15CE0611" w:rsidR="00A9637A" w:rsidRPr="00A9637A" w:rsidRDefault="00A9637A" w:rsidP="00A9637A">
            <w:pPr>
              <w:rPr>
                <w:rFonts w:cstheme="minorHAnsi"/>
                <w:sz w:val="24"/>
                <w:szCs w:val="24"/>
              </w:rPr>
            </w:pPr>
            <w:r w:rsidRPr="00A9637A">
              <w:rPr>
                <w:rFonts w:ascii="Calibri" w:hAnsi="Calibri"/>
                <w:sz w:val="24"/>
                <w:szCs w:val="24"/>
              </w:rPr>
              <w:t xml:space="preserve">CMHSP UM policies and procedures, medical necessity criteria, hierarchy of coverage criteria, MCG or other approved criteria when applicable, authorization or denial examples, inter-rater reliability results, audit findings, person-centered planning documentation, member notices, dispute resolution information, member education materials, evidence-based practice monitoring or tracking reports, annual Network Adequacy assessment summary information when applicable, and documentation showing decisions are linked to applicable guidelines or criteria without imposing arbitrary </w:t>
            </w:r>
            <w:r w:rsidRPr="00A9637A">
              <w:rPr>
                <w:rFonts w:ascii="Calibri" w:hAnsi="Calibri"/>
                <w:sz w:val="24"/>
                <w:szCs w:val="24"/>
              </w:rPr>
              <w:lastRenderedPageBreak/>
              <w:t>caps or replacing medical necessity review.</w:t>
            </w:r>
          </w:p>
        </w:tc>
        <w:tc>
          <w:tcPr>
            <w:tcW w:w="2263" w:type="dxa"/>
            <w:tcBorders>
              <w:top w:val="single" w:sz="4" w:space="0" w:color="000000"/>
              <w:left w:val="single" w:sz="4" w:space="0" w:color="000000"/>
              <w:bottom w:val="single" w:sz="4" w:space="0" w:color="000000"/>
              <w:right w:val="single" w:sz="4" w:space="0" w:color="000000"/>
            </w:tcBorders>
          </w:tcPr>
          <w:p w14:paraId="60CE02DF" w14:textId="1BCB742D" w:rsidR="00A9637A" w:rsidRPr="00A9637A" w:rsidRDefault="00A9637A" w:rsidP="00A9637A">
            <w:pPr>
              <w:rPr>
                <w:rFonts w:cstheme="minorHAnsi"/>
                <w:sz w:val="24"/>
                <w:szCs w:val="24"/>
              </w:rPr>
            </w:pPr>
            <w:r w:rsidRPr="00A9637A">
              <w:rPr>
                <w:rFonts w:ascii="Calibri" w:hAnsi="Calibri"/>
                <w:sz w:val="24"/>
                <w:szCs w:val="24"/>
              </w:rPr>
              <w:lastRenderedPageBreak/>
              <w:t xml:space="preserve">Verify that CMHSP UM, member education, coverage, and service planning decisions are linked to applicable practice guidelines, medical necessity criteria, MCG or other approved criteria when applicable, person-centered planning, and LRE/CMHSP UM procedures. Confirm guidelines are not used to set arbitrary </w:t>
            </w:r>
            <w:r w:rsidRPr="00A9637A">
              <w:rPr>
                <w:rFonts w:ascii="Calibri" w:hAnsi="Calibri"/>
                <w:sz w:val="24"/>
                <w:szCs w:val="24"/>
              </w:rPr>
              <w:lastRenderedPageBreak/>
              <w:t xml:space="preserve">limits on amount, scope, or duration of services; to achieve budget reductions; or to replace medical necessity review. Also confirm the CMHSP monitors, tracks, and reports evidence-based practices or clinical interventions as required by LRE, including summary information for Network Adequacy when applicable. When an individual disagrees with the plan of service or an adverse determination occurs, confirm required notices, </w:t>
            </w:r>
            <w:r w:rsidRPr="00A9637A">
              <w:rPr>
                <w:rFonts w:ascii="Calibri" w:hAnsi="Calibri"/>
                <w:sz w:val="24"/>
                <w:szCs w:val="24"/>
              </w:rPr>
              <w:lastRenderedPageBreak/>
              <w:t>appeal/grievance information, or dispute resolution options are provided as applicable.</w:t>
            </w:r>
          </w:p>
        </w:tc>
        <w:tc>
          <w:tcPr>
            <w:tcW w:w="2541" w:type="dxa"/>
          </w:tcPr>
          <w:p w14:paraId="5A51218B" w14:textId="42B5A818" w:rsidR="00A9637A" w:rsidRPr="00A9637A" w:rsidRDefault="00A9637A" w:rsidP="00A9637A">
            <w:pPr>
              <w:rPr>
                <w:rFonts w:cstheme="minorHAnsi"/>
                <w:sz w:val="24"/>
                <w:szCs w:val="24"/>
              </w:rPr>
            </w:pPr>
          </w:p>
        </w:tc>
      </w:tr>
    </w:tbl>
    <w:p w14:paraId="164F409D" w14:textId="77777777" w:rsidR="00E91794" w:rsidRDefault="00E91794"/>
    <w:p w14:paraId="510642F2" w14:textId="7F2B87C0" w:rsidR="00794898" w:rsidRPr="00794898" w:rsidRDefault="00794898">
      <w:pPr>
        <w:rPr>
          <w:sz w:val="24"/>
          <w:szCs w:val="24"/>
        </w:rPr>
      </w:pPr>
      <w:r w:rsidRPr="00794898">
        <w:rPr>
          <w:sz w:val="24"/>
          <w:szCs w:val="24"/>
        </w:rPr>
        <w:t>Recreated Standard XI tool reflecting HSAG Standard XI, LRE Policy 5.15, MDHHS/federal requirements, and CMHSP implementation responsibilities.</w:t>
      </w:r>
    </w:p>
    <w:sectPr w:rsidR="00794898" w:rsidRPr="00794898" w:rsidSect="0062566F">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B1553" w14:textId="77777777" w:rsidR="008F26C1" w:rsidRDefault="008F26C1" w:rsidP="00CF359E">
      <w:pPr>
        <w:spacing w:after="0" w:line="240" w:lineRule="auto"/>
      </w:pPr>
      <w:r>
        <w:separator/>
      </w:r>
    </w:p>
  </w:endnote>
  <w:endnote w:type="continuationSeparator" w:id="0">
    <w:p w14:paraId="0B22F675" w14:textId="77777777" w:rsidR="008F26C1" w:rsidRDefault="008F26C1" w:rsidP="00CF359E">
      <w:pPr>
        <w:spacing w:after="0" w:line="240" w:lineRule="auto"/>
      </w:pPr>
      <w:r>
        <w:continuationSeparator/>
      </w:r>
    </w:p>
  </w:endnote>
  <w:endnote w:type="continuationNotice" w:id="1">
    <w:p w14:paraId="0D036133" w14:textId="77777777" w:rsidR="008F26C1" w:rsidRDefault="008F26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32511"/>
      <w:docPartObj>
        <w:docPartGallery w:val="Page Numbers (Bottom of Page)"/>
        <w:docPartUnique/>
      </w:docPartObj>
    </w:sdtPr>
    <w:sdtEndPr>
      <w:rPr>
        <w:noProof/>
      </w:rPr>
    </w:sdtEndPr>
    <w:sdtContent>
      <w:p w14:paraId="48A6B0EC" w14:textId="0F16DEC6" w:rsidR="005F23BF" w:rsidRDefault="005F23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464CA0" w14:textId="77777777" w:rsidR="005F23BF" w:rsidRDefault="005F2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2BC64" w14:textId="77777777" w:rsidR="008F26C1" w:rsidRDefault="008F26C1" w:rsidP="00CF359E">
      <w:pPr>
        <w:spacing w:after="0" w:line="240" w:lineRule="auto"/>
      </w:pPr>
      <w:r>
        <w:separator/>
      </w:r>
    </w:p>
  </w:footnote>
  <w:footnote w:type="continuationSeparator" w:id="0">
    <w:p w14:paraId="59CBA7D3" w14:textId="77777777" w:rsidR="008F26C1" w:rsidRDefault="008F26C1" w:rsidP="00CF359E">
      <w:pPr>
        <w:spacing w:after="0" w:line="240" w:lineRule="auto"/>
      </w:pPr>
      <w:r>
        <w:continuationSeparator/>
      </w:r>
    </w:p>
  </w:footnote>
  <w:footnote w:type="continuationNotice" w:id="1">
    <w:p w14:paraId="0C4A9C48" w14:textId="77777777" w:rsidR="008F26C1" w:rsidRDefault="008F26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90" w:type="dxa"/>
      <w:tblLook w:val="04A0" w:firstRow="1" w:lastRow="0" w:firstColumn="1" w:lastColumn="0" w:noHBand="0" w:noVBand="1"/>
    </w:tblPr>
    <w:tblGrid>
      <w:gridCol w:w="14390"/>
    </w:tblGrid>
    <w:tr w:rsidR="00B20FF1" w14:paraId="31853E6F" w14:textId="77777777" w:rsidTr="00B20FF1">
      <w:tc>
        <w:tcPr>
          <w:tcW w:w="14390" w:type="dxa"/>
          <w:shd w:val="clear" w:color="auto" w:fill="8EAADB" w:themeFill="accent1" w:themeFillTint="99"/>
        </w:tcPr>
        <w:p w14:paraId="51BF434A" w14:textId="52085D1C" w:rsidR="00B20FF1" w:rsidRDefault="00BB1544" w:rsidP="00BB1544">
          <w:pPr>
            <w:jc w:val="center"/>
            <w:rPr>
              <w:rFonts w:eastAsia="Calibri"/>
              <w:b/>
              <w:bCs/>
              <w:sz w:val="20"/>
              <w:szCs w:val="20"/>
            </w:rPr>
          </w:pPr>
          <w:r w:rsidRPr="00BB1544">
            <w:rPr>
              <w:rFonts w:ascii="Calibri Light" w:eastAsia="Calibri Light" w:hAnsi="Calibri Light" w:cs="Calibri Light"/>
              <w:b/>
              <w:bCs/>
              <w:color w:val="000000" w:themeColor="text1"/>
              <w:sz w:val="28"/>
              <w:szCs w:val="28"/>
            </w:rPr>
            <w:t>202</w:t>
          </w:r>
          <w:r>
            <w:rPr>
              <w:rFonts w:ascii="Calibri Light" w:eastAsia="Calibri Light" w:hAnsi="Calibri Light" w:cs="Calibri Light"/>
              <w:b/>
              <w:bCs/>
              <w:color w:val="000000" w:themeColor="text1"/>
              <w:sz w:val="28"/>
              <w:szCs w:val="28"/>
            </w:rPr>
            <w:t>7</w:t>
          </w:r>
          <w:r w:rsidRPr="00BB1544">
            <w:rPr>
              <w:rFonts w:ascii="Calibri Light" w:eastAsia="Calibri Light" w:hAnsi="Calibri Light" w:cs="Calibri Light"/>
              <w:b/>
              <w:bCs/>
              <w:color w:val="000000" w:themeColor="text1"/>
              <w:sz w:val="28"/>
              <w:szCs w:val="28"/>
            </w:rPr>
            <w:t xml:space="preserve"> Standard XI Practice Guidelines</w:t>
          </w:r>
        </w:p>
      </w:tc>
    </w:tr>
  </w:tbl>
  <w:p w14:paraId="0DB22B4B" w14:textId="258F594A" w:rsidR="00B20FF1" w:rsidRDefault="00B20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5C1"/>
    <w:multiLevelType w:val="hybridMultilevel"/>
    <w:tmpl w:val="A5EA7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1915F7"/>
    <w:multiLevelType w:val="hybridMultilevel"/>
    <w:tmpl w:val="749600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AB2DDC"/>
    <w:multiLevelType w:val="hybridMultilevel"/>
    <w:tmpl w:val="D5941F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272D88"/>
    <w:multiLevelType w:val="hybridMultilevel"/>
    <w:tmpl w:val="0B34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8F4C0E"/>
    <w:multiLevelType w:val="hybridMultilevel"/>
    <w:tmpl w:val="F92826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2559DF"/>
    <w:multiLevelType w:val="hybridMultilevel"/>
    <w:tmpl w:val="B6BA7F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46525F"/>
    <w:multiLevelType w:val="hybridMultilevel"/>
    <w:tmpl w:val="432A02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61490E"/>
    <w:multiLevelType w:val="hybridMultilevel"/>
    <w:tmpl w:val="F4EED5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2841687">
    <w:abstractNumId w:val="4"/>
  </w:num>
  <w:num w:numId="2" w16cid:durableId="2080518111">
    <w:abstractNumId w:val="0"/>
  </w:num>
  <w:num w:numId="3" w16cid:durableId="210044263">
    <w:abstractNumId w:val="1"/>
  </w:num>
  <w:num w:numId="4" w16cid:durableId="672144323">
    <w:abstractNumId w:val="3"/>
  </w:num>
  <w:num w:numId="5" w16cid:durableId="1180237872">
    <w:abstractNumId w:val="7"/>
  </w:num>
  <w:num w:numId="6" w16cid:durableId="1979726377">
    <w:abstractNumId w:val="6"/>
  </w:num>
  <w:num w:numId="7" w16cid:durableId="1330866900">
    <w:abstractNumId w:val="2"/>
  </w:num>
  <w:num w:numId="8" w16cid:durableId="12805750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66F"/>
    <w:rsid w:val="00000F1D"/>
    <w:rsid w:val="000011DD"/>
    <w:rsid w:val="00001776"/>
    <w:rsid w:val="0000222E"/>
    <w:rsid w:val="00002238"/>
    <w:rsid w:val="000034E2"/>
    <w:rsid w:val="000035EF"/>
    <w:rsid w:val="00003DBE"/>
    <w:rsid w:val="00004395"/>
    <w:rsid w:val="00006F83"/>
    <w:rsid w:val="0001468D"/>
    <w:rsid w:val="00015D8A"/>
    <w:rsid w:val="00023560"/>
    <w:rsid w:val="000236F9"/>
    <w:rsid w:val="00023B87"/>
    <w:rsid w:val="00031F95"/>
    <w:rsid w:val="000323F9"/>
    <w:rsid w:val="00034811"/>
    <w:rsid w:val="000374A9"/>
    <w:rsid w:val="000374E0"/>
    <w:rsid w:val="0004128F"/>
    <w:rsid w:val="00041303"/>
    <w:rsid w:val="000422A4"/>
    <w:rsid w:val="00045400"/>
    <w:rsid w:val="000466BF"/>
    <w:rsid w:val="00047AAD"/>
    <w:rsid w:val="00054E26"/>
    <w:rsid w:val="000555CD"/>
    <w:rsid w:val="00060AF2"/>
    <w:rsid w:val="00060FDA"/>
    <w:rsid w:val="0006523E"/>
    <w:rsid w:val="00070E6E"/>
    <w:rsid w:val="00071F90"/>
    <w:rsid w:val="0007374B"/>
    <w:rsid w:val="00075826"/>
    <w:rsid w:val="000772C5"/>
    <w:rsid w:val="00081369"/>
    <w:rsid w:val="00081928"/>
    <w:rsid w:val="00082321"/>
    <w:rsid w:val="0009159B"/>
    <w:rsid w:val="00091CF7"/>
    <w:rsid w:val="00093315"/>
    <w:rsid w:val="000937B2"/>
    <w:rsid w:val="00093946"/>
    <w:rsid w:val="00094583"/>
    <w:rsid w:val="000952EA"/>
    <w:rsid w:val="000A254A"/>
    <w:rsid w:val="000A2E26"/>
    <w:rsid w:val="000B3D64"/>
    <w:rsid w:val="000B49C8"/>
    <w:rsid w:val="000B6820"/>
    <w:rsid w:val="000C31E1"/>
    <w:rsid w:val="000C3BFF"/>
    <w:rsid w:val="000C5E39"/>
    <w:rsid w:val="000C7F27"/>
    <w:rsid w:val="000D0F00"/>
    <w:rsid w:val="000D5C47"/>
    <w:rsid w:val="000E15CF"/>
    <w:rsid w:val="000E2E8A"/>
    <w:rsid w:val="000F10FA"/>
    <w:rsid w:val="000F176A"/>
    <w:rsid w:val="000F6E52"/>
    <w:rsid w:val="000F79DF"/>
    <w:rsid w:val="00100274"/>
    <w:rsid w:val="00100F9F"/>
    <w:rsid w:val="00103AC4"/>
    <w:rsid w:val="0010419F"/>
    <w:rsid w:val="00107CEB"/>
    <w:rsid w:val="00113441"/>
    <w:rsid w:val="00114ADD"/>
    <w:rsid w:val="00116382"/>
    <w:rsid w:val="00116D7A"/>
    <w:rsid w:val="001208F0"/>
    <w:rsid w:val="0012147D"/>
    <w:rsid w:val="00123F59"/>
    <w:rsid w:val="00126984"/>
    <w:rsid w:val="001305A7"/>
    <w:rsid w:val="00131D10"/>
    <w:rsid w:val="00132AF4"/>
    <w:rsid w:val="001347CB"/>
    <w:rsid w:val="00136F17"/>
    <w:rsid w:val="00137641"/>
    <w:rsid w:val="00140EE9"/>
    <w:rsid w:val="001458CD"/>
    <w:rsid w:val="00154BCD"/>
    <w:rsid w:val="00157E61"/>
    <w:rsid w:val="001710BE"/>
    <w:rsid w:val="00173BC6"/>
    <w:rsid w:val="00175C01"/>
    <w:rsid w:val="0017691C"/>
    <w:rsid w:val="0017772D"/>
    <w:rsid w:val="001817FC"/>
    <w:rsid w:val="00181AB2"/>
    <w:rsid w:val="001850D9"/>
    <w:rsid w:val="001871E6"/>
    <w:rsid w:val="00190965"/>
    <w:rsid w:val="00195A80"/>
    <w:rsid w:val="001A1412"/>
    <w:rsid w:val="001A1A39"/>
    <w:rsid w:val="001A4794"/>
    <w:rsid w:val="001A5BDE"/>
    <w:rsid w:val="001A5DEE"/>
    <w:rsid w:val="001A6AAD"/>
    <w:rsid w:val="001A6D37"/>
    <w:rsid w:val="001B1EF6"/>
    <w:rsid w:val="001B2620"/>
    <w:rsid w:val="001C0858"/>
    <w:rsid w:val="001C12FD"/>
    <w:rsid w:val="001C212F"/>
    <w:rsid w:val="001C4613"/>
    <w:rsid w:val="001C74C0"/>
    <w:rsid w:val="001D0663"/>
    <w:rsid w:val="001D49CD"/>
    <w:rsid w:val="001D4A84"/>
    <w:rsid w:val="001D5E05"/>
    <w:rsid w:val="001E00D9"/>
    <w:rsid w:val="001E13A8"/>
    <w:rsid w:val="001E2996"/>
    <w:rsid w:val="001E3D12"/>
    <w:rsid w:val="001F43E5"/>
    <w:rsid w:val="001F4D89"/>
    <w:rsid w:val="001F6DC8"/>
    <w:rsid w:val="00200A22"/>
    <w:rsid w:val="0020142E"/>
    <w:rsid w:val="0020190B"/>
    <w:rsid w:val="002056C5"/>
    <w:rsid w:val="00205E19"/>
    <w:rsid w:val="00210EEA"/>
    <w:rsid w:val="00212E4B"/>
    <w:rsid w:val="00217604"/>
    <w:rsid w:val="00221E12"/>
    <w:rsid w:val="00223159"/>
    <w:rsid w:val="002238F0"/>
    <w:rsid w:val="00223956"/>
    <w:rsid w:val="0022773C"/>
    <w:rsid w:val="00227FC9"/>
    <w:rsid w:val="00230FBD"/>
    <w:rsid w:val="002324B8"/>
    <w:rsid w:val="00234899"/>
    <w:rsid w:val="0023676D"/>
    <w:rsid w:val="00236F15"/>
    <w:rsid w:val="002407B2"/>
    <w:rsid w:val="00241E8A"/>
    <w:rsid w:val="002454E5"/>
    <w:rsid w:val="0024714E"/>
    <w:rsid w:val="00252949"/>
    <w:rsid w:val="002538E5"/>
    <w:rsid w:val="00254834"/>
    <w:rsid w:val="00257D53"/>
    <w:rsid w:val="002647FA"/>
    <w:rsid w:val="00266024"/>
    <w:rsid w:val="002679D6"/>
    <w:rsid w:val="0027104B"/>
    <w:rsid w:val="00272972"/>
    <w:rsid w:val="00274ED2"/>
    <w:rsid w:val="0027571E"/>
    <w:rsid w:val="00285BA0"/>
    <w:rsid w:val="00286B4A"/>
    <w:rsid w:val="00287B0E"/>
    <w:rsid w:val="002918F6"/>
    <w:rsid w:val="00293AC6"/>
    <w:rsid w:val="00294510"/>
    <w:rsid w:val="00294C17"/>
    <w:rsid w:val="002A02FA"/>
    <w:rsid w:val="002A4228"/>
    <w:rsid w:val="002B111F"/>
    <w:rsid w:val="002B1B4F"/>
    <w:rsid w:val="002B30F1"/>
    <w:rsid w:val="002B3EE7"/>
    <w:rsid w:val="002B6F89"/>
    <w:rsid w:val="002C0962"/>
    <w:rsid w:val="002C101A"/>
    <w:rsid w:val="002C2637"/>
    <w:rsid w:val="002C5995"/>
    <w:rsid w:val="002D1115"/>
    <w:rsid w:val="002D1FA2"/>
    <w:rsid w:val="002D281B"/>
    <w:rsid w:val="002D3761"/>
    <w:rsid w:val="002D48B5"/>
    <w:rsid w:val="002D562C"/>
    <w:rsid w:val="002D7BF9"/>
    <w:rsid w:val="002E39D5"/>
    <w:rsid w:val="002E5150"/>
    <w:rsid w:val="002F3E39"/>
    <w:rsid w:val="002F7874"/>
    <w:rsid w:val="00301050"/>
    <w:rsid w:val="00301BB7"/>
    <w:rsid w:val="003035E4"/>
    <w:rsid w:val="00307F99"/>
    <w:rsid w:val="00313D03"/>
    <w:rsid w:val="00322E28"/>
    <w:rsid w:val="0032471A"/>
    <w:rsid w:val="0032530C"/>
    <w:rsid w:val="003321F6"/>
    <w:rsid w:val="00332D3C"/>
    <w:rsid w:val="00334205"/>
    <w:rsid w:val="00335652"/>
    <w:rsid w:val="0033723E"/>
    <w:rsid w:val="0034379E"/>
    <w:rsid w:val="003453A4"/>
    <w:rsid w:val="0034569B"/>
    <w:rsid w:val="00352DDA"/>
    <w:rsid w:val="00361441"/>
    <w:rsid w:val="003618E3"/>
    <w:rsid w:val="0037099A"/>
    <w:rsid w:val="003754AF"/>
    <w:rsid w:val="003756C2"/>
    <w:rsid w:val="00376419"/>
    <w:rsid w:val="00376F0A"/>
    <w:rsid w:val="00382479"/>
    <w:rsid w:val="00382CCE"/>
    <w:rsid w:val="00383E25"/>
    <w:rsid w:val="00384834"/>
    <w:rsid w:val="00387081"/>
    <w:rsid w:val="00387D86"/>
    <w:rsid w:val="00391AA7"/>
    <w:rsid w:val="00397124"/>
    <w:rsid w:val="003A1842"/>
    <w:rsid w:val="003A5191"/>
    <w:rsid w:val="003A5FCE"/>
    <w:rsid w:val="003A7484"/>
    <w:rsid w:val="003B1F08"/>
    <w:rsid w:val="003B291B"/>
    <w:rsid w:val="003B3B45"/>
    <w:rsid w:val="003B3B88"/>
    <w:rsid w:val="003B695A"/>
    <w:rsid w:val="003B72B6"/>
    <w:rsid w:val="003C18DF"/>
    <w:rsid w:val="003C2934"/>
    <w:rsid w:val="003C480A"/>
    <w:rsid w:val="003C5769"/>
    <w:rsid w:val="003C5E0A"/>
    <w:rsid w:val="003C6D59"/>
    <w:rsid w:val="003C7080"/>
    <w:rsid w:val="003D0607"/>
    <w:rsid w:val="003D14AF"/>
    <w:rsid w:val="003D2D98"/>
    <w:rsid w:val="003D4994"/>
    <w:rsid w:val="003D5BC8"/>
    <w:rsid w:val="003D64F9"/>
    <w:rsid w:val="003D6FAA"/>
    <w:rsid w:val="003D746C"/>
    <w:rsid w:val="003E3515"/>
    <w:rsid w:val="003E4CBE"/>
    <w:rsid w:val="003F06AB"/>
    <w:rsid w:val="003F0AC2"/>
    <w:rsid w:val="003F28AD"/>
    <w:rsid w:val="003F297F"/>
    <w:rsid w:val="004039EC"/>
    <w:rsid w:val="00403BB5"/>
    <w:rsid w:val="004043B0"/>
    <w:rsid w:val="0040588B"/>
    <w:rsid w:val="00406EF0"/>
    <w:rsid w:val="00407F48"/>
    <w:rsid w:val="004100CE"/>
    <w:rsid w:val="004119B4"/>
    <w:rsid w:val="00411B47"/>
    <w:rsid w:val="004133F8"/>
    <w:rsid w:val="00416940"/>
    <w:rsid w:val="00424CBE"/>
    <w:rsid w:val="00430F14"/>
    <w:rsid w:val="00431FFE"/>
    <w:rsid w:val="00433309"/>
    <w:rsid w:val="0043367D"/>
    <w:rsid w:val="00434DC2"/>
    <w:rsid w:val="004357F2"/>
    <w:rsid w:val="00442F28"/>
    <w:rsid w:val="00443351"/>
    <w:rsid w:val="00446DB8"/>
    <w:rsid w:val="0045138D"/>
    <w:rsid w:val="00452B50"/>
    <w:rsid w:val="00457354"/>
    <w:rsid w:val="00460A56"/>
    <w:rsid w:val="00460D4F"/>
    <w:rsid w:val="00460E70"/>
    <w:rsid w:val="00466611"/>
    <w:rsid w:val="00466D51"/>
    <w:rsid w:val="004673A3"/>
    <w:rsid w:val="00470F47"/>
    <w:rsid w:val="00471B5E"/>
    <w:rsid w:val="004722D4"/>
    <w:rsid w:val="00473493"/>
    <w:rsid w:val="00477341"/>
    <w:rsid w:val="00477E5C"/>
    <w:rsid w:val="0048216B"/>
    <w:rsid w:val="00486CAB"/>
    <w:rsid w:val="00487052"/>
    <w:rsid w:val="0048749A"/>
    <w:rsid w:val="004925D0"/>
    <w:rsid w:val="0049519C"/>
    <w:rsid w:val="004A08D6"/>
    <w:rsid w:val="004A212A"/>
    <w:rsid w:val="004A3D68"/>
    <w:rsid w:val="004A3DCB"/>
    <w:rsid w:val="004A5E15"/>
    <w:rsid w:val="004A6208"/>
    <w:rsid w:val="004B0629"/>
    <w:rsid w:val="004B1651"/>
    <w:rsid w:val="004B2738"/>
    <w:rsid w:val="004B27CC"/>
    <w:rsid w:val="004B3F24"/>
    <w:rsid w:val="004B4E6E"/>
    <w:rsid w:val="004B679B"/>
    <w:rsid w:val="004C5D89"/>
    <w:rsid w:val="004C636E"/>
    <w:rsid w:val="004C6A32"/>
    <w:rsid w:val="004C75E6"/>
    <w:rsid w:val="004D05FC"/>
    <w:rsid w:val="004D37D9"/>
    <w:rsid w:val="004D59B7"/>
    <w:rsid w:val="004E2C25"/>
    <w:rsid w:val="004E4315"/>
    <w:rsid w:val="004F0991"/>
    <w:rsid w:val="004F2503"/>
    <w:rsid w:val="0050106F"/>
    <w:rsid w:val="0050245F"/>
    <w:rsid w:val="00502FDA"/>
    <w:rsid w:val="00507738"/>
    <w:rsid w:val="00512996"/>
    <w:rsid w:val="00513CF5"/>
    <w:rsid w:val="005144B4"/>
    <w:rsid w:val="00515699"/>
    <w:rsid w:val="0051597A"/>
    <w:rsid w:val="005164AD"/>
    <w:rsid w:val="0052220E"/>
    <w:rsid w:val="00522961"/>
    <w:rsid w:val="00526E10"/>
    <w:rsid w:val="00531494"/>
    <w:rsid w:val="005331BC"/>
    <w:rsid w:val="00533686"/>
    <w:rsid w:val="0054152C"/>
    <w:rsid w:val="0054184E"/>
    <w:rsid w:val="005439C8"/>
    <w:rsid w:val="00545F4E"/>
    <w:rsid w:val="00553085"/>
    <w:rsid w:val="00555EC1"/>
    <w:rsid w:val="00557E24"/>
    <w:rsid w:val="0056101E"/>
    <w:rsid w:val="00561FF4"/>
    <w:rsid w:val="005666E7"/>
    <w:rsid w:val="0057072D"/>
    <w:rsid w:val="00572D96"/>
    <w:rsid w:val="00574B90"/>
    <w:rsid w:val="00575FB3"/>
    <w:rsid w:val="00577C95"/>
    <w:rsid w:val="0058274B"/>
    <w:rsid w:val="00585E59"/>
    <w:rsid w:val="0058780F"/>
    <w:rsid w:val="005A035F"/>
    <w:rsid w:val="005A075A"/>
    <w:rsid w:val="005A0E0A"/>
    <w:rsid w:val="005A14F4"/>
    <w:rsid w:val="005A19BE"/>
    <w:rsid w:val="005A6CF8"/>
    <w:rsid w:val="005A6FEC"/>
    <w:rsid w:val="005A730F"/>
    <w:rsid w:val="005B3718"/>
    <w:rsid w:val="005B4F3A"/>
    <w:rsid w:val="005B7EF2"/>
    <w:rsid w:val="005C0226"/>
    <w:rsid w:val="005C2A53"/>
    <w:rsid w:val="005D4069"/>
    <w:rsid w:val="005D6BED"/>
    <w:rsid w:val="005D7A1F"/>
    <w:rsid w:val="005E217E"/>
    <w:rsid w:val="005E6FA1"/>
    <w:rsid w:val="005F096A"/>
    <w:rsid w:val="005F0AF2"/>
    <w:rsid w:val="005F1937"/>
    <w:rsid w:val="005F23BF"/>
    <w:rsid w:val="005F2974"/>
    <w:rsid w:val="005F6BB7"/>
    <w:rsid w:val="005F7E84"/>
    <w:rsid w:val="00601744"/>
    <w:rsid w:val="00602887"/>
    <w:rsid w:val="00604F5B"/>
    <w:rsid w:val="00606D8E"/>
    <w:rsid w:val="0060766C"/>
    <w:rsid w:val="006111F9"/>
    <w:rsid w:val="0061180E"/>
    <w:rsid w:val="00612A3F"/>
    <w:rsid w:val="00617DDF"/>
    <w:rsid w:val="006214EC"/>
    <w:rsid w:val="0062566F"/>
    <w:rsid w:val="00625D64"/>
    <w:rsid w:val="006260DA"/>
    <w:rsid w:val="00626190"/>
    <w:rsid w:val="00627459"/>
    <w:rsid w:val="0063166D"/>
    <w:rsid w:val="0063277B"/>
    <w:rsid w:val="00634E61"/>
    <w:rsid w:val="00635048"/>
    <w:rsid w:val="006355CD"/>
    <w:rsid w:val="00640EDF"/>
    <w:rsid w:val="0064155E"/>
    <w:rsid w:val="0064159A"/>
    <w:rsid w:val="0064535A"/>
    <w:rsid w:val="00645EEE"/>
    <w:rsid w:val="00660A59"/>
    <w:rsid w:val="0066291C"/>
    <w:rsid w:val="00667175"/>
    <w:rsid w:val="00672658"/>
    <w:rsid w:val="0067795B"/>
    <w:rsid w:val="0068456C"/>
    <w:rsid w:val="00684B38"/>
    <w:rsid w:val="00685560"/>
    <w:rsid w:val="00696B04"/>
    <w:rsid w:val="006A013F"/>
    <w:rsid w:val="006A1CEA"/>
    <w:rsid w:val="006A4A1A"/>
    <w:rsid w:val="006B64A8"/>
    <w:rsid w:val="006C34B4"/>
    <w:rsid w:val="006C505A"/>
    <w:rsid w:val="006C5521"/>
    <w:rsid w:val="006C6D58"/>
    <w:rsid w:val="006D155B"/>
    <w:rsid w:val="006D5DB4"/>
    <w:rsid w:val="006E02C4"/>
    <w:rsid w:val="006E2D61"/>
    <w:rsid w:val="006E2DD6"/>
    <w:rsid w:val="006E59F1"/>
    <w:rsid w:val="006E5D29"/>
    <w:rsid w:val="006E5F8F"/>
    <w:rsid w:val="006E65EF"/>
    <w:rsid w:val="006F03FF"/>
    <w:rsid w:val="006F2256"/>
    <w:rsid w:val="006F6F27"/>
    <w:rsid w:val="00700707"/>
    <w:rsid w:val="00704B51"/>
    <w:rsid w:val="0070605B"/>
    <w:rsid w:val="00707201"/>
    <w:rsid w:val="0070752D"/>
    <w:rsid w:val="007112A1"/>
    <w:rsid w:val="00712C6E"/>
    <w:rsid w:val="00713036"/>
    <w:rsid w:val="00714C56"/>
    <w:rsid w:val="00720800"/>
    <w:rsid w:val="007212F2"/>
    <w:rsid w:val="00726400"/>
    <w:rsid w:val="007274FE"/>
    <w:rsid w:val="00727E69"/>
    <w:rsid w:val="0073001F"/>
    <w:rsid w:val="00734DD0"/>
    <w:rsid w:val="00736F88"/>
    <w:rsid w:val="00740733"/>
    <w:rsid w:val="007420BD"/>
    <w:rsid w:val="00744C4F"/>
    <w:rsid w:val="00745037"/>
    <w:rsid w:val="0074507C"/>
    <w:rsid w:val="00756F36"/>
    <w:rsid w:val="00761377"/>
    <w:rsid w:val="0076377A"/>
    <w:rsid w:val="00764968"/>
    <w:rsid w:val="00764BCD"/>
    <w:rsid w:val="0077252D"/>
    <w:rsid w:val="007727DB"/>
    <w:rsid w:val="00781B58"/>
    <w:rsid w:val="0078261E"/>
    <w:rsid w:val="007842EA"/>
    <w:rsid w:val="00787D7D"/>
    <w:rsid w:val="0078B571"/>
    <w:rsid w:val="0079460A"/>
    <w:rsid w:val="00794898"/>
    <w:rsid w:val="0079509B"/>
    <w:rsid w:val="00796B65"/>
    <w:rsid w:val="00796DAE"/>
    <w:rsid w:val="007A3FAA"/>
    <w:rsid w:val="007A4602"/>
    <w:rsid w:val="007A4817"/>
    <w:rsid w:val="007A68FA"/>
    <w:rsid w:val="007A6F39"/>
    <w:rsid w:val="007B15CA"/>
    <w:rsid w:val="007B2F96"/>
    <w:rsid w:val="007B38F0"/>
    <w:rsid w:val="007B45C2"/>
    <w:rsid w:val="007B5217"/>
    <w:rsid w:val="007B55F0"/>
    <w:rsid w:val="007C10F4"/>
    <w:rsid w:val="007C2010"/>
    <w:rsid w:val="007C7E84"/>
    <w:rsid w:val="007D198B"/>
    <w:rsid w:val="007D2196"/>
    <w:rsid w:val="007D4F6A"/>
    <w:rsid w:val="007D52DE"/>
    <w:rsid w:val="007D5726"/>
    <w:rsid w:val="007E68DC"/>
    <w:rsid w:val="007E6FA5"/>
    <w:rsid w:val="00800F12"/>
    <w:rsid w:val="00802AE4"/>
    <w:rsid w:val="00810434"/>
    <w:rsid w:val="008137DA"/>
    <w:rsid w:val="008147F4"/>
    <w:rsid w:val="0081494A"/>
    <w:rsid w:val="0081589C"/>
    <w:rsid w:val="00820F1C"/>
    <w:rsid w:val="00823DAC"/>
    <w:rsid w:val="00824228"/>
    <w:rsid w:val="00824AF8"/>
    <w:rsid w:val="00832361"/>
    <w:rsid w:val="00832E52"/>
    <w:rsid w:val="0083696B"/>
    <w:rsid w:val="00836A3B"/>
    <w:rsid w:val="0084141A"/>
    <w:rsid w:val="008442C3"/>
    <w:rsid w:val="008475DD"/>
    <w:rsid w:val="0085279C"/>
    <w:rsid w:val="00852D6C"/>
    <w:rsid w:val="00853FAA"/>
    <w:rsid w:val="00860738"/>
    <w:rsid w:val="00860DE3"/>
    <w:rsid w:val="00865649"/>
    <w:rsid w:val="00865C72"/>
    <w:rsid w:val="00865FFA"/>
    <w:rsid w:val="00867C96"/>
    <w:rsid w:val="00870D96"/>
    <w:rsid w:val="00875A29"/>
    <w:rsid w:val="008767DC"/>
    <w:rsid w:val="00877BC2"/>
    <w:rsid w:val="00882DBE"/>
    <w:rsid w:val="00885754"/>
    <w:rsid w:val="008874DD"/>
    <w:rsid w:val="00887B37"/>
    <w:rsid w:val="008907E9"/>
    <w:rsid w:val="00892600"/>
    <w:rsid w:val="00897197"/>
    <w:rsid w:val="008977C5"/>
    <w:rsid w:val="008A1F65"/>
    <w:rsid w:val="008A7B87"/>
    <w:rsid w:val="008B4C20"/>
    <w:rsid w:val="008B5D07"/>
    <w:rsid w:val="008B6D1B"/>
    <w:rsid w:val="008C06B5"/>
    <w:rsid w:val="008C2A43"/>
    <w:rsid w:val="008C2F18"/>
    <w:rsid w:val="008C499F"/>
    <w:rsid w:val="008C7499"/>
    <w:rsid w:val="008D1693"/>
    <w:rsid w:val="008D1BD4"/>
    <w:rsid w:val="008D31F4"/>
    <w:rsid w:val="008D64F3"/>
    <w:rsid w:val="008E553E"/>
    <w:rsid w:val="008E6F08"/>
    <w:rsid w:val="008F0F9D"/>
    <w:rsid w:val="008F1128"/>
    <w:rsid w:val="008F14B9"/>
    <w:rsid w:val="008F191C"/>
    <w:rsid w:val="008F2056"/>
    <w:rsid w:val="008F26C1"/>
    <w:rsid w:val="008F4A35"/>
    <w:rsid w:val="008F6D5C"/>
    <w:rsid w:val="009038DA"/>
    <w:rsid w:val="00905CEB"/>
    <w:rsid w:val="00907332"/>
    <w:rsid w:val="00907CCB"/>
    <w:rsid w:val="009107BE"/>
    <w:rsid w:val="0091309E"/>
    <w:rsid w:val="0091377B"/>
    <w:rsid w:val="00914176"/>
    <w:rsid w:val="00914338"/>
    <w:rsid w:val="0091456C"/>
    <w:rsid w:val="00915E77"/>
    <w:rsid w:val="00925A80"/>
    <w:rsid w:val="00925D4D"/>
    <w:rsid w:val="0092731F"/>
    <w:rsid w:val="0093238F"/>
    <w:rsid w:val="009370B7"/>
    <w:rsid w:val="0093760A"/>
    <w:rsid w:val="00951AC0"/>
    <w:rsid w:val="00952EBC"/>
    <w:rsid w:val="00953CC1"/>
    <w:rsid w:val="009549F2"/>
    <w:rsid w:val="00954EFB"/>
    <w:rsid w:val="009601F4"/>
    <w:rsid w:val="0096320A"/>
    <w:rsid w:val="00963FB4"/>
    <w:rsid w:val="00964E83"/>
    <w:rsid w:val="00965CDB"/>
    <w:rsid w:val="00966E92"/>
    <w:rsid w:val="009670E6"/>
    <w:rsid w:val="00977B50"/>
    <w:rsid w:val="009824F9"/>
    <w:rsid w:val="00985C61"/>
    <w:rsid w:val="009875B5"/>
    <w:rsid w:val="009879FD"/>
    <w:rsid w:val="0099102D"/>
    <w:rsid w:val="00991356"/>
    <w:rsid w:val="00993165"/>
    <w:rsid w:val="00994E72"/>
    <w:rsid w:val="009979D7"/>
    <w:rsid w:val="009A126E"/>
    <w:rsid w:val="009A1CCD"/>
    <w:rsid w:val="009A2A7F"/>
    <w:rsid w:val="009A2DD1"/>
    <w:rsid w:val="009A4E84"/>
    <w:rsid w:val="009A6A6C"/>
    <w:rsid w:val="009A7C29"/>
    <w:rsid w:val="009A7E4B"/>
    <w:rsid w:val="009B028B"/>
    <w:rsid w:val="009B28D0"/>
    <w:rsid w:val="009B5AD6"/>
    <w:rsid w:val="009B5F38"/>
    <w:rsid w:val="009C1B4E"/>
    <w:rsid w:val="009C204F"/>
    <w:rsid w:val="009C336B"/>
    <w:rsid w:val="009C56AE"/>
    <w:rsid w:val="009C5AF2"/>
    <w:rsid w:val="009D65A0"/>
    <w:rsid w:val="009D6F98"/>
    <w:rsid w:val="009D7230"/>
    <w:rsid w:val="009D746B"/>
    <w:rsid w:val="009E41E1"/>
    <w:rsid w:val="009F0B50"/>
    <w:rsid w:val="009F606B"/>
    <w:rsid w:val="009F60B6"/>
    <w:rsid w:val="009F6E99"/>
    <w:rsid w:val="00A004B2"/>
    <w:rsid w:val="00A00949"/>
    <w:rsid w:val="00A015C1"/>
    <w:rsid w:val="00A0793E"/>
    <w:rsid w:val="00A117DC"/>
    <w:rsid w:val="00A13EB0"/>
    <w:rsid w:val="00A16017"/>
    <w:rsid w:val="00A16FF2"/>
    <w:rsid w:val="00A22AE4"/>
    <w:rsid w:val="00A26343"/>
    <w:rsid w:val="00A30DD4"/>
    <w:rsid w:val="00A3207A"/>
    <w:rsid w:val="00A37323"/>
    <w:rsid w:val="00A37523"/>
    <w:rsid w:val="00A40981"/>
    <w:rsid w:val="00A45D98"/>
    <w:rsid w:val="00A461BE"/>
    <w:rsid w:val="00A46592"/>
    <w:rsid w:val="00A47426"/>
    <w:rsid w:val="00A506EF"/>
    <w:rsid w:val="00A50866"/>
    <w:rsid w:val="00A524C8"/>
    <w:rsid w:val="00A52617"/>
    <w:rsid w:val="00A54479"/>
    <w:rsid w:val="00A554BA"/>
    <w:rsid w:val="00A55F94"/>
    <w:rsid w:val="00A56644"/>
    <w:rsid w:val="00A576FD"/>
    <w:rsid w:val="00A6016A"/>
    <w:rsid w:val="00A61AAE"/>
    <w:rsid w:val="00A61EFD"/>
    <w:rsid w:val="00A62667"/>
    <w:rsid w:val="00A6396B"/>
    <w:rsid w:val="00A63D39"/>
    <w:rsid w:val="00A65EFF"/>
    <w:rsid w:val="00A67BE3"/>
    <w:rsid w:val="00A70B7E"/>
    <w:rsid w:val="00A82877"/>
    <w:rsid w:val="00A84BCE"/>
    <w:rsid w:val="00A91203"/>
    <w:rsid w:val="00A94EE9"/>
    <w:rsid w:val="00A95102"/>
    <w:rsid w:val="00A9637A"/>
    <w:rsid w:val="00A975D8"/>
    <w:rsid w:val="00AA500B"/>
    <w:rsid w:val="00AA6B3C"/>
    <w:rsid w:val="00AB329D"/>
    <w:rsid w:val="00AB58F9"/>
    <w:rsid w:val="00AB5B4D"/>
    <w:rsid w:val="00AB6114"/>
    <w:rsid w:val="00AB65C3"/>
    <w:rsid w:val="00AB6DEA"/>
    <w:rsid w:val="00AB775E"/>
    <w:rsid w:val="00AC233A"/>
    <w:rsid w:val="00AC23F0"/>
    <w:rsid w:val="00AD22D9"/>
    <w:rsid w:val="00AD2BF7"/>
    <w:rsid w:val="00AD2FAE"/>
    <w:rsid w:val="00AD354B"/>
    <w:rsid w:val="00AD564C"/>
    <w:rsid w:val="00AE18BF"/>
    <w:rsid w:val="00AE4356"/>
    <w:rsid w:val="00AE5CD0"/>
    <w:rsid w:val="00AF086A"/>
    <w:rsid w:val="00AF2F5F"/>
    <w:rsid w:val="00AF5916"/>
    <w:rsid w:val="00AF7517"/>
    <w:rsid w:val="00B03C40"/>
    <w:rsid w:val="00B06F92"/>
    <w:rsid w:val="00B070DB"/>
    <w:rsid w:val="00B13EE1"/>
    <w:rsid w:val="00B1419A"/>
    <w:rsid w:val="00B14C92"/>
    <w:rsid w:val="00B14FCD"/>
    <w:rsid w:val="00B165E5"/>
    <w:rsid w:val="00B16851"/>
    <w:rsid w:val="00B17F58"/>
    <w:rsid w:val="00B20FF1"/>
    <w:rsid w:val="00B23A13"/>
    <w:rsid w:val="00B242FB"/>
    <w:rsid w:val="00B24A8B"/>
    <w:rsid w:val="00B3063D"/>
    <w:rsid w:val="00B309D8"/>
    <w:rsid w:val="00B312D3"/>
    <w:rsid w:val="00B3273F"/>
    <w:rsid w:val="00B346B1"/>
    <w:rsid w:val="00B370D4"/>
    <w:rsid w:val="00B37CBE"/>
    <w:rsid w:val="00B37F55"/>
    <w:rsid w:val="00B40406"/>
    <w:rsid w:val="00B425BC"/>
    <w:rsid w:val="00B448E3"/>
    <w:rsid w:val="00B46002"/>
    <w:rsid w:val="00B507D3"/>
    <w:rsid w:val="00B51228"/>
    <w:rsid w:val="00B52474"/>
    <w:rsid w:val="00B530FC"/>
    <w:rsid w:val="00B5352B"/>
    <w:rsid w:val="00B53AE8"/>
    <w:rsid w:val="00B5562C"/>
    <w:rsid w:val="00B56BA1"/>
    <w:rsid w:val="00B5708A"/>
    <w:rsid w:val="00B576FF"/>
    <w:rsid w:val="00B609E2"/>
    <w:rsid w:val="00B61FCA"/>
    <w:rsid w:val="00B6448E"/>
    <w:rsid w:val="00B66D63"/>
    <w:rsid w:val="00B676D3"/>
    <w:rsid w:val="00B720EE"/>
    <w:rsid w:val="00B72CDA"/>
    <w:rsid w:val="00B801CD"/>
    <w:rsid w:val="00B81884"/>
    <w:rsid w:val="00B836EB"/>
    <w:rsid w:val="00B83DE5"/>
    <w:rsid w:val="00B90D25"/>
    <w:rsid w:val="00B92377"/>
    <w:rsid w:val="00B96E34"/>
    <w:rsid w:val="00B973D4"/>
    <w:rsid w:val="00BA29D0"/>
    <w:rsid w:val="00BA2B14"/>
    <w:rsid w:val="00BB1544"/>
    <w:rsid w:val="00BB1E79"/>
    <w:rsid w:val="00BB2CF2"/>
    <w:rsid w:val="00BB478E"/>
    <w:rsid w:val="00BB752D"/>
    <w:rsid w:val="00BB7A0C"/>
    <w:rsid w:val="00BC0F33"/>
    <w:rsid w:val="00BC39E4"/>
    <w:rsid w:val="00BC5F4A"/>
    <w:rsid w:val="00BC76F9"/>
    <w:rsid w:val="00BD4F29"/>
    <w:rsid w:val="00BD63B8"/>
    <w:rsid w:val="00BD7112"/>
    <w:rsid w:val="00BE58BA"/>
    <w:rsid w:val="00BE72C6"/>
    <w:rsid w:val="00BF2638"/>
    <w:rsid w:val="00BF771E"/>
    <w:rsid w:val="00C16BB8"/>
    <w:rsid w:val="00C16E5A"/>
    <w:rsid w:val="00C2015C"/>
    <w:rsid w:val="00C20405"/>
    <w:rsid w:val="00C20E81"/>
    <w:rsid w:val="00C21DBD"/>
    <w:rsid w:val="00C27C5B"/>
    <w:rsid w:val="00C40562"/>
    <w:rsid w:val="00C439F5"/>
    <w:rsid w:val="00C4635D"/>
    <w:rsid w:val="00C47537"/>
    <w:rsid w:val="00C4793B"/>
    <w:rsid w:val="00C507CF"/>
    <w:rsid w:val="00C540CA"/>
    <w:rsid w:val="00C607A8"/>
    <w:rsid w:val="00C625D5"/>
    <w:rsid w:val="00C6396F"/>
    <w:rsid w:val="00C665FD"/>
    <w:rsid w:val="00C67D36"/>
    <w:rsid w:val="00C7000A"/>
    <w:rsid w:val="00C7023A"/>
    <w:rsid w:val="00C71EAC"/>
    <w:rsid w:val="00C722AA"/>
    <w:rsid w:val="00C7237F"/>
    <w:rsid w:val="00C84896"/>
    <w:rsid w:val="00C85906"/>
    <w:rsid w:val="00C85D0B"/>
    <w:rsid w:val="00C9169B"/>
    <w:rsid w:val="00C929E4"/>
    <w:rsid w:val="00C94961"/>
    <w:rsid w:val="00C94C88"/>
    <w:rsid w:val="00C9675A"/>
    <w:rsid w:val="00CA014A"/>
    <w:rsid w:val="00CA1816"/>
    <w:rsid w:val="00CA1E89"/>
    <w:rsid w:val="00CA3317"/>
    <w:rsid w:val="00CA4047"/>
    <w:rsid w:val="00CA5000"/>
    <w:rsid w:val="00CB14AC"/>
    <w:rsid w:val="00CB1928"/>
    <w:rsid w:val="00CB2157"/>
    <w:rsid w:val="00CB4D32"/>
    <w:rsid w:val="00CB5513"/>
    <w:rsid w:val="00CB7B0D"/>
    <w:rsid w:val="00CB7C14"/>
    <w:rsid w:val="00CC2D03"/>
    <w:rsid w:val="00CC4EC3"/>
    <w:rsid w:val="00CC58B1"/>
    <w:rsid w:val="00CC7915"/>
    <w:rsid w:val="00CC7E1A"/>
    <w:rsid w:val="00CD40F3"/>
    <w:rsid w:val="00CD46C1"/>
    <w:rsid w:val="00CE2440"/>
    <w:rsid w:val="00CE2B32"/>
    <w:rsid w:val="00CE3546"/>
    <w:rsid w:val="00CE55D2"/>
    <w:rsid w:val="00CF285D"/>
    <w:rsid w:val="00CF3241"/>
    <w:rsid w:val="00CF359E"/>
    <w:rsid w:val="00CF4230"/>
    <w:rsid w:val="00D01FE5"/>
    <w:rsid w:val="00D034CE"/>
    <w:rsid w:val="00D044B7"/>
    <w:rsid w:val="00D07AE4"/>
    <w:rsid w:val="00D12307"/>
    <w:rsid w:val="00D1318C"/>
    <w:rsid w:val="00D15959"/>
    <w:rsid w:val="00D15A2F"/>
    <w:rsid w:val="00D20306"/>
    <w:rsid w:val="00D2223E"/>
    <w:rsid w:val="00D22400"/>
    <w:rsid w:val="00D249B0"/>
    <w:rsid w:val="00D267D3"/>
    <w:rsid w:val="00D304EA"/>
    <w:rsid w:val="00D32165"/>
    <w:rsid w:val="00D3629D"/>
    <w:rsid w:val="00D36FFB"/>
    <w:rsid w:val="00D37C5D"/>
    <w:rsid w:val="00D412EB"/>
    <w:rsid w:val="00D42ADE"/>
    <w:rsid w:val="00D44F1A"/>
    <w:rsid w:val="00D45C14"/>
    <w:rsid w:val="00D47F80"/>
    <w:rsid w:val="00D50A38"/>
    <w:rsid w:val="00D52647"/>
    <w:rsid w:val="00D53910"/>
    <w:rsid w:val="00D56F15"/>
    <w:rsid w:val="00D60055"/>
    <w:rsid w:val="00D63C37"/>
    <w:rsid w:val="00D641E0"/>
    <w:rsid w:val="00D65033"/>
    <w:rsid w:val="00D66322"/>
    <w:rsid w:val="00D67347"/>
    <w:rsid w:val="00D6756A"/>
    <w:rsid w:val="00D729DF"/>
    <w:rsid w:val="00D75955"/>
    <w:rsid w:val="00D762ED"/>
    <w:rsid w:val="00D81E91"/>
    <w:rsid w:val="00D84876"/>
    <w:rsid w:val="00D85F30"/>
    <w:rsid w:val="00D94704"/>
    <w:rsid w:val="00D9534B"/>
    <w:rsid w:val="00D95419"/>
    <w:rsid w:val="00D95739"/>
    <w:rsid w:val="00D95DB5"/>
    <w:rsid w:val="00DA06E6"/>
    <w:rsid w:val="00DA0E13"/>
    <w:rsid w:val="00DA28A3"/>
    <w:rsid w:val="00DA5F7E"/>
    <w:rsid w:val="00DB1DDF"/>
    <w:rsid w:val="00DB20E8"/>
    <w:rsid w:val="00DB674E"/>
    <w:rsid w:val="00DC31FB"/>
    <w:rsid w:val="00DC43F1"/>
    <w:rsid w:val="00DC4BE4"/>
    <w:rsid w:val="00DD083C"/>
    <w:rsid w:val="00DD2BE0"/>
    <w:rsid w:val="00DD37EA"/>
    <w:rsid w:val="00DD48A4"/>
    <w:rsid w:val="00DE013A"/>
    <w:rsid w:val="00DE394D"/>
    <w:rsid w:val="00DF1879"/>
    <w:rsid w:val="00DF68E9"/>
    <w:rsid w:val="00E074D8"/>
    <w:rsid w:val="00E07637"/>
    <w:rsid w:val="00E0781E"/>
    <w:rsid w:val="00E07D1E"/>
    <w:rsid w:val="00E1689A"/>
    <w:rsid w:val="00E17333"/>
    <w:rsid w:val="00E22E24"/>
    <w:rsid w:val="00E2501D"/>
    <w:rsid w:val="00E25F79"/>
    <w:rsid w:val="00E32A16"/>
    <w:rsid w:val="00E33FF0"/>
    <w:rsid w:val="00E426CA"/>
    <w:rsid w:val="00E45362"/>
    <w:rsid w:val="00E520F0"/>
    <w:rsid w:val="00E54302"/>
    <w:rsid w:val="00E55446"/>
    <w:rsid w:val="00E5598E"/>
    <w:rsid w:val="00E55DFA"/>
    <w:rsid w:val="00E647CD"/>
    <w:rsid w:val="00E65534"/>
    <w:rsid w:val="00E66589"/>
    <w:rsid w:val="00E71942"/>
    <w:rsid w:val="00E721A7"/>
    <w:rsid w:val="00E726D1"/>
    <w:rsid w:val="00E73598"/>
    <w:rsid w:val="00E763E2"/>
    <w:rsid w:val="00E77AD9"/>
    <w:rsid w:val="00E804A8"/>
    <w:rsid w:val="00E80DBE"/>
    <w:rsid w:val="00E80F19"/>
    <w:rsid w:val="00E87427"/>
    <w:rsid w:val="00E90CC0"/>
    <w:rsid w:val="00E91794"/>
    <w:rsid w:val="00E93324"/>
    <w:rsid w:val="00E97DE3"/>
    <w:rsid w:val="00EA4D30"/>
    <w:rsid w:val="00EA541A"/>
    <w:rsid w:val="00EA5BF2"/>
    <w:rsid w:val="00EA7174"/>
    <w:rsid w:val="00EB0495"/>
    <w:rsid w:val="00EB55F5"/>
    <w:rsid w:val="00EB60EA"/>
    <w:rsid w:val="00EB61AF"/>
    <w:rsid w:val="00EC0883"/>
    <w:rsid w:val="00EC11A5"/>
    <w:rsid w:val="00EC2A08"/>
    <w:rsid w:val="00EC42AE"/>
    <w:rsid w:val="00EC6C5E"/>
    <w:rsid w:val="00EC6F0B"/>
    <w:rsid w:val="00ED05C1"/>
    <w:rsid w:val="00ED196A"/>
    <w:rsid w:val="00ED1986"/>
    <w:rsid w:val="00ED347B"/>
    <w:rsid w:val="00ED6D48"/>
    <w:rsid w:val="00EE00F2"/>
    <w:rsid w:val="00EE55E6"/>
    <w:rsid w:val="00EF2547"/>
    <w:rsid w:val="00EF33D3"/>
    <w:rsid w:val="00F001FC"/>
    <w:rsid w:val="00F01229"/>
    <w:rsid w:val="00F042E8"/>
    <w:rsid w:val="00F0489A"/>
    <w:rsid w:val="00F06C33"/>
    <w:rsid w:val="00F10316"/>
    <w:rsid w:val="00F10A98"/>
    <w:rsid w:val="00F1220F"/>
    <w:rsid w:val="00F133C0"/>
    <w:rsid w:val="00F155E4"/>
    <w:rsid w:val="00F17AD9"/>
    <w:rsid w:val="00F21311"/>
    <w:rsid w:val="00F21F6D"/>
    <w:rsid w:val="00F23648"/>
    <w:rsid w:val="00F31BFE"/>
    <w:rsid w:val="00F32322"/>
    <w:rsid w:val="00F34EDA"/>
    <w:rsid w:val="00F37E9D"/>
    <w:rsid w:val="00F40664"/>
    <w:rsid w:val="00F412B4"/>
    <w:rsid w:val="00F45C59"/>
    <w:rsid w:val="00F511D1"/>
    <w:rsid w:val="00F515AC"/>
    <w:rsid w:val="00F5365C"/>
    <w:rsid w:val="00F55E35"/>
    <w:rsid w:val="00F55E3C"/>
    <w:rsid w:val="00F612E1"/>
    <w:rsid w:val="00F6207A"/>
    <w:rsid w:val="00F643FD"/>
    <w:rsid w:val="00F65057"/>
    <w:rsid w:val="00F65584"/>
    <w:rsid w:val="00F769CE"/>
    <w:rsid w:val="00F800E6"/>
    <w:rsid w:val="00F841AA"/>
    <w:rsid w:val="00F86023"/>
    <w:rsid w:val="00F8734F"/>
    <w:rsid w:val="00F906FA"/>
    <w:rsid w:val="00F940C5"/>
    <w:rsid w:val="00F954BE"/>
    <w:rsid w:val="00F96A17"/>
    <w:rsid w:val="00F976B2"/>
    <w:rsid w:val="00FA01A6"/>
    <w:rsid w:val="00FA1ACF"/>
    <w:rsid w:val="00FA3060"/>
    <w:rsid w:val="00FA363C"/>
    <w:rsid w:val="00FA4672"/>
    <w:rsid w:val="00FA4940"/>
    <w:rsid w:val="00FA4BC2"/>
    <w:rsid w:val="00FA4DD8"/>
    <w:rsid w:val="00FA6974"/>
    <w:rsid w:val="00FB05A9"/>
    <w:rsid w:val="00FB38F1"/>
    <w:rsid w:val="00FB46E7"/>
    <w:rsid w:val="00FC105D"/>
    <w:rsid w:val="00FC61B8"/>
    <w:rsid w:val="00FC667B"/>
    <w:rsid w:val="00FD0DAA"/>
    <w:rsid w:val="00FD45ED"/>
    <w:rsid w:val="00FD4D21"/>
    <w:rsid w:val="00FD761A"/>
    <w:rsid w:val="00FE3CAD"/>
    <w:rsid w:val="00FF163A"/>
    <w:rsid w:val="00FF18B2"/>
    <w:rsid w:val="00FF6C1F"/>
    <w:rsid w:val="033A1336"/>
    <w:rsid w:val="034BF01D"/>
    <w:rsid w:val="03AFBEBB"/>
    <w:rsid w:val="054A92FD"/>
    <w:rsid w:val="05C73BF0"/>
    <w:rsid w:val="098E21F5"/>
    <w:rsid w:val="0B67F8D9"/>
    <w:rsid w:val="0B877A2A"/>
    <w:rsid w:val="0BACCE79"/>
    <w:rsid w:val="0C175C55"/>
    <w:rsid w:val="0C18EFEC"/>
    <w:rsid w:val="0C4AC4F5"/>
    <w:rsid w:val="0C5E419D"/>
    <w:rsid w:val="0CF8F34D"/>
    <w:rsid w:val="0D371FB0"/>
    <w:rsid w:val="0E07DC21"/>
    <w:rsid w:val="0E4C351A"/>
    <w:rsid w:val="1111D6AD"/>
    <w:rsid w:val="13007ED5"/>
    <w:rsid w:val="1586F69E"/>
    <w:rsid w:val="15AE7124"/>
    <w:rsid w:val="1603358A"/>
    <w:rsid w:val="18901786"/>
    <w:rsid w:val="18CFD247"/>
    <w:rsid w:val="1BC1E4A2"/>
    <w:rsid w:val="1DE6A6C2"/>
    <w:rsid w:val="1E7361BF"/>
    <w:rsid w:val="1F726A41"/>
    <w:rsid w:val="203D5E11"/>
    <w:rsid w:val="2048D6F2"/>
    <w:rsid w:val="21913814"/>
    <w:rsid w:val="22052CAD"/>
    <w:rsid w:val="22211A3F"/>
    <w:rsid w:val="234B8DA7"/>
    <w:rsid w:val="23FB3114"/>
    <w:rsid w:val="271B9497"/>
    <w:rsid w:val="273065DB"/>
    <w:rsid w:val="2816BC0D"/>
    <w:rsid w:val="2A61C778"/>
    <w:rsid w:val="2A9D891D"/>
    <w:rsid w:val="2AE413A3"/>
    <w:rsid w:val="2B73F5CE"/>
    <w:rsid w:val="2C0CDB51"/>
    <w:rsid w:val="2C0CF374"/>
    <w:rsid w:val="2CDEA465"/>
    <w:rsid w:val="2CE037FC"/>
    <w:rsid w:val="2D8CADB2"/>
    <w:rsid w:val="2D912F0F"/>
    <w:rsid w:val="2D97235C"/>
    <w:rsid w:val="2EA69E62"/>
    <w:rsid w:val="2ED99031"/>
    <w:rsid w:val="2F1073F2"/>
    <w:rsid w:val="33E09615"/>
    <w:rsid w:val="3529A4D5"/>
    <w:rsid w:val="367BFA9F"/>
    <w:rsid w:val="36D68E6D"/>
    <w:rsid w:val="36DFB876"/>
    <w:rsid w:val="382C6BC0"/>
    <w:rsid w:val="39194F76"/>
    <w:rsid w:val="392B2C5D"/>
    <w:rsid w:val="394A9B84"/>
    <w:rsid w:val="39C94A6A"/>
    <w:rsid w:val="39D48962"/>
    <w:rsid w:val="3A3EBE39"/>
    <w:rsid w:val="3A48116A"/>
    <w:rsid w:val="3A4AB0D7"/>
    <w:rsid w:val="3A5C9031"/>
    <w:rsid w:val="3BC42A71"/>
    <w:rsid w:val="3CACE155"/>
    <w:rsid w:val="3D255281"/>
    <w:rsid w:val="3D3A23C5"/>
    <w:rsid w:val="3F7961C2"/>
    <w:rsid w:val="411B401D"/>
    <w:rsid w:val="41F13BC0"/>
    <w:rsid w:val="4295EF2F"/>
    <w:rsid w:val="42C48048"/>
    <w:rsid w:val="43BF01D1"/>
    <w:rsid w:val="44525F7B"/>
    <w:rsid w:val="44E199DD"/>
    <w:rsid w:val="44E295FC"/>
    <w:rsid w:val="46730F90"/>
    <w:rsid w:val="4841B56A"/>
    <w:rsid w:val="4872BED2"/>
    <w:rsid w:val="48983C02"/>
    <w:rsid w:val="4A4015A4"/>
    <w:rsid w:val="4C5C52C6"/>
    <w:rsid w:val="512E3052"/>
    <w:rsid w:val="51A13C4C"/>
    <w:rsid w:val="51D5FADF"/>
    <w:rsid w:val="56574DED"/>
    <w:rsid w:val="56F3D858"/>
    <w:rsid w:val="58CE3E32"/>
    <w:rsid w:val="59A4AAE3"/>
    <w:rsid w:val="5A28A474"/>
    <w:rsid w:val="5A348D0E"/>
    <w:rsid w:val="5CD4339E"/>
    <w:rsid w:val="5E444F7A"/>
    <w:rsid w:val="5E49F2B2"/>
    <w:rsid w:val="5F9973F3"/>
    <w:rsid w:val="603AF516"/>
    <w:rsid w:val="61EA97EA"/>
    <w:rsid w:val="63697AE3"/>
    <w:rsid w:val="63E0DE53"/>
    <w:rsid w:val="63E87BB4"/>
    <w:rsid w:val="654351C7"/>
    <w:rsid w:val="65683E84"/>
    <w:rsid w:val="65DABBD6"/>
    <w:rsid w:val="662E7BA8"/>
    <w:rsid w:val="66F2F74D"/>
    <w:rsid w:val="68893808"/>
    <w:rsid w:val="68B44F76"/>
    <w:rsid w:val="69098539"/>
    <w:rsid w:val="69644A6A"/>
    <w:rsid w:val="69751F9F"/>
    <w:rsid w:val="69964D3D"/>
    <w:rsid w:val="69EFB9B5"/>
    <w:rsid w:val="6AB63FF2"/>
    <w:rsid w:val="6B8B281D"/>
    <w:rsid w:val="6BB758A8"/>
    <w:rsid w:val="6FAE68CD"/>
    <w:rsid w:val="6FE09E61"/>
    <w:rsid w:val="708B8EE2"/>
    <w:rsid w:val="70C340A8"/>
    <w:rsid w:val="718E33FE"/>
    <w:rsid w:val="721821DC"/>
    <w:rsid w:val="72B11F82"/>
    <w:rsid w:val="73CBFCD9"/>
    <w:rsid w:val="74EB3022"/>
    <w:rsid w:val="757DBC3F"/>
    <w:rsid w:val="7603212E"/>
    <w:rsid w:val="760D9E6A"/>
    <w:rsid w:val="786FCE9A"/>
    <w:rsid w:val="79DA9998"/>
    <w:rsid w:val="7A5AC2D0"/>
    <w:rsid w:val="7A9490BA"/>
    <w:rsid w:val="7BB48278"/>
    <w:rsid w:val="7F041812"/>
    <w:rsid w:val="7F09BB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BDF3E"/>
  <w15:chartTrackingRefBased/>
  <w15:docId w15:val="{BAAFA17F-C312-4990-9740-BF6859761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52D"/>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3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59E"/>
  </w:style>
  <w:style w:type="paragraph" w:styleId="Footer">
    <w:name w:val="footer"/>
    <w:basedOn w:val="Normal"/>
    <w:link w:val="FooterChar"/>
    <w:uiPriority w:val="99"/>
    <w:unhideWhenUsed/>
    <w:rsid w:val="00CF3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59E"/>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5524B2-5E63-42E9-BD87-0F9A9173B4A5}">
  <ds:schemaRefs>
    <ds:schemaRef ds:uri="http://schemas.microsoft.com/sharepoint/v3/contenttype/forms"/>
  </ds:schemaRefs>
</ds:datastoreItem>
</file>

<file path=customXml/itemProps2.xml><?xml version="1.0" encoding="utf-8"?>
<ds:datastoreItem xmlns:ds="http://schemas.openxmlformats.org/officeDocument/2006/customXml" ds:itemID="{75E7C001-6FE5-4743-BE20-2B9CABAC4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F88C8A-4E33-462E-AB4B-0802349AC0DB}">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1224</Words>
  <Characters>8268</Characters>
  <Application>Microsoft Office Word</Application>
  <DocSecurity>0</DocSecurity>
  <Lines>306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4</cp:revision>
  <dcterms:created xsi:type="dcterms:W3CDTF">2026-09-21T19:43:00Z</dcterms:created>
  <dcterms:modified xsi:type="dcterms:W3CDTF">2026-09-21T19:44:00Z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y fmtid="{D5CDD505-2E9C-101B-9397-08002B2CF9AE}" pid="4" name="docLang">
    <vt:lpwstr>en</vt:lpwstr>
  </property>
</Properties>
</file>