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881E1" w14:textId="1810051F" w:rsidR="002313E8" w:rsidRDefault="00E71DB8" w:rsidP="002313E8">
      <w:pPr>
        <w:pStyle w:val="Header"/>
        <w:jc w:val="center"/>
        <w:rPr>
          <w:sz w:val="44"/>
          <w:szCs w:val="44"/>
          <w:u w:val="single"/>
        </w:rPr>
      </w:pPr>
      <w:r>
        <w:rPr>
          <w:sz w:val="44"/>
          <w:szCs w:val="44"/>
          <w:u w:val="single"/>
        </w:rPr>
        <w:t xml:space="preserve"> </w:t>
      </w:r>
      <w:r w:rsidR="00592A71">
        <w:rPr>
          <w:sz w:val="44"/>
          <w:szCs w:val="44"/>
          <w:u w:val="single"/>
        </w:rPr>
        <w:t>REGIONAL AUTHORIZATION MATRIX</w:t>
      </w:r>
      <w:r w:rsidR="0069039A" w:rsidRPr="002313E8">
        <w:rPr>
          <w:sz w:val="44"/>
          <w:szCs w:val="44"/>
          <w:u w:val="single"/>
        </w:rPr>
        <w:t xml:space="preserve"> </w:t>
      </w:r>
    </w:p>
    <w:p w14:paraId="39A12BD6" w14:textId="5BB30E5E" w:rsidR="00A379E8" w:rsidRPr="00A379E8" w:rsidRDefault="00A379E8" w:rsidP="002313E8">
      <w:pPr>
        <w:pStyle w:val="Header"/>
        <w:jc w:val="center"/>
        <w:rPr>
          <w:sz w:val="32"/>
          <w:szCs w:val="32"/>
        </w:rPr>
      </w:pPr>
      <w:r w:rsidRPr="611F58B5">
        <w:rPr>
          <w:sz w:val="32"/>
          <w:szCs w:val="32"/>
        </w:rPr>
        <w:t xml:space="preserve">Revised </w:t>
      </w:r>
      <w:r w:rsidR="7373C86C" w:rsidRPr="611F58B5">
        <w:rPr>
          <w:sz w:val="32"/>
          <w:szCs w:val="32"/>
        </w:rPr>
        <w:t>February 2024</w:t>
      </w:r>
    </w:p>
    <w:p w14:paraId="186B6271" w14:textId="77777777" w:rsidR="002313E8" w:rsidRDefault="002313E8" w:rsidP="002313E8">
      <w:pPr>
        <w:pStyle w:val="Header"/>
        <w:jc w:val="center"/>
      </w:pPr>
    </w:p>
    <w:p w14:paraId="63CD7D78" w14:textId="083B978B" w:rsidR="00592A71" w:rsidRDefault="00592A71" w:rsidP="00592A71">
      <w:r>
        <w:t xml:space="preserve">The column to the far </w:t>
      </w:r>
      <w:r w:rsidR="004F47D1">
        <w:t>right</w:t>
      </w:r>
      <w:r>
        <w:t xml:space="preserve"> </w:t>
      </w:r>
      <w:r w:rsidR="004F5B55">
        <w:t>(Regional</w:t>
      </w:r>
      <w:r>
        <w:t>) is the standard regional authorization process</w:t>
      </w:r>
      <w:r w:rsidR="004F5B55">
        <w:t xml:space="preserve"> agreed upon by all member CMHSPs.</w:t>
      </w:r>
    </w:p>
    <w:tbl>
      <w:tblPr>
        <w:tblStyle w:val="TableGrid"/>
        <w:tblW w:w="0" w:type="auto"/>
        <w:tblLook w:val="04A0" w:firstRow="1" w:lastRow="0" w:firstColumn="1" w:lastColumn="0" w:noHBand="0" w:noVBand="1"/>
      </w:tblPr>
      <w:tblGrid>
        <w:gridCol w:w="1881"/>
        <w:gridCol w:w="1726"/>
        <w:gridCol w:w="2131"/>
        <w:gridCol w:w="2040"/>
        <w:gridCol w:w="2230"/>
        <w:gridCol w:w="2103"/>
        <w:gridCol w:w="2279"/>
      </w:tblGrid>
      <w:tr w:rsidR="00A271E8" w14:paraId="6ED472FD" w14:textId="145BACB1" w:rsidTr="00FD7D6F">
        <w:trPr>
          <w:cantSplit/>
          <w:trHeight w:val="432"/>
          <w:tblHeader/>
        </w:trPr>
        <w:tc>
          <w:tcPr>
            <w:tcW w:w="1881" w:type="dxa"/>
            <w:shd w:val="clear" w:color="auto" w:fill="000000" w:themeFill="text1"/>
            <w:vAlign w:val="center"/>
          </w:tcPr>
          <w:p w14:paraId="6EAEA0C9" w14:textId="77777777" w:rsidR="00A271E8" w:rsidRPr="002313E8" w:rsidRDefault="00A271E8" w:rsidP="00A271E8">
            <w:pPr>
              <w:jc w:val="center"/>
              <w:rPr>
                <w:color w:val="FFFFFF" w:themeColor="background1"/>
              </w:rPr>
            </w:pPr>
          </w:p>
        </w:tc>
        <w:tc>
          <w:tcPr>
            <w:tcW w:w="1726" w:type="dxa"/>
            <w:shd w:val="clear" w:color="auto" w:fill="000000" w:themeFill="text1"/>
            <w:vAlign w:val="center"/>
          </w:tcPr>
          <w:p w14:paraId="291C0CE7" w14:textId="45142082" w:rsidR="00A271E8" w:rsidRPr="002313E8" w:rsidRDefault="00A271E8" w:rsidP="00A271E8">
            <w:pPr>
              <w:jc w:val="center"/>
              <w:rPr>
                <w:color w:val="FFFFFF" w:themeColor="background1"/>
              </w:rPr>
            </w:pPr>
            <w:r w:rsidRPr="002313E8">
              <w:rPr>
                <w:color w:val="FFFFFF" w:themeColor="background1"/>
              </w:rPr>
              <w:t>Allegan</w:t>
            </w:r>
          </w:p>
        </w:tc>
        <w:tc>
          <w:tcPr>
            <w:tcW w:w="2131" w:type="dxa"/>
            <w:shd w:val="clear" w:color="auto" w:fill="000000" w:themeFill="text1"/>
            <w:vAlign w:val="center"/>
          </w:tcPr>
          <w:p w14:paraId="3C5B43A5" w14:textId="69C8EE3B" w:rsidR="00A271E8" w:rsidRPr="002313E8" w:rsidRDefault="00A271E8" w:rsidP="00A271E8">
            <w:pPr>
              <w:jc w:val="center"/>
              <w:rPr>
                <w:color w:val="FFFFFF" w:themeColor="background1"/>
              </w:rPr>
            </w:pPr>
            <w:r w:rsidRPr="002313E8">
              <w:rPr>
                <w:color w:val="FFFFFF" w:themeColor="background1"/>
              </w:rPr>
              <w:t>N180</w:t>
            </w:r>
          </w:p>
        </w:tc>
        <w:tc>
          <w:tcPr>
            <w:tcW w:w="2040" w:type="dxa"/>
            <w:shd w:val="clear" w:color="auto" w:fill="000000" w:themeFill="text1"/>
            <w:vAlign w:val="center"/>
          </w:tcPr>
          <w:p w14:paraId="143ED7E7" w14:textId="77777777" w:rsidR="00A271E8" w:rsidRPr="002313E8" w:rsidRDefault="00A271E8" w:rsidP="00A271E8">
            <w:pPr>
              <w:jc w:val="center"/>
              <w:rPr>
                <w:color w:val="FFFFFF" w:themeColor="background1"/>
              </w:rPr>
            </w:pPr>
            <w:r w:rsidRPr="002313E8">
              <w:rPr>
                <w:color w:val="FFFFFF" w:themeColor="background1"/>
              </w:rPr>
              <w:t>West Michigan</w:t>
            </w:r>
          </w:p>
        </w:tc>
        <w:tc>
          <w:tcPr>
            <w:tcW w:w="2230" w:type="dxa"/>
            <w:shd w:val="clear" w:color="auto" w:fill="000000" w:themeFill="text1"/>
            <w:vAlign w:val="center"/>
          </w:tcPr>
          <w:p w14:paraId="49ED6CEB" w14:textId="77777777" w:rsidR="00A271E8" w:rsidRPr="002313E8" w:rsidRDefault="00A271E8" w:rsidP="00A271E8">
            <w:pPr>
              <w:jc w:val="center"/>
              <w:rPr>
                <w:color w:val="FFFFFF" w:themeColor="background1"/>
              </w:rPr>
            </w:pPr>
            <w:r w:rsidRPr="002313E8">
              <w:rPr>
                <w:color w:val="FFFFFF" w:themeColor="background1"/>
              </w:rPr>
              <w:t>Health West</w:t>
            </w:r>
          </w:p>
        </w:tc>
        <w:tc>
          <w:tcPr>
            <w:tcW w:w="2103" w:type="dxa"/>
            <w:shd w:val="clear" w:color="auto" w:fill="000000" w:themeFill="text1"/>
            <w:vAlign w:val="center"/>
          </w:tcPr>
          <w:p w14:paraId="34784F76" w14:textId="77777777" w:rsidR="00A271E8" w:rsidRPr="002313E8" w:rsidRDefault="00A271E8" w:rsidP="00A271E8">
            <w:pPr>
              <w:jc w:val="center"/>
              <w:rPr>
                <w:color w:val="FFFFFF" w:themeColor="background1"/>
              </w:rPr>
            </w:pPr>
            <w:r w:rsidRPr="002313E8">
              <w:rPr>
                <w:color w:val="FFFFFF" w:themeColor="background1"/>
              </w:rPr>
              <w:t>Ottawa</w:t>
            </w:r>
          </w:p>
        </w:tc>
        <w:tc>
          <w:tcPr>
            <w:tcW w:w="2279" w:type="dxa"/>
            <w:shd w:val="clear" w:color="auto" w:fill="000000" w:themeFill="text1"/>
            <w:vAlign w:val="center"/>
          </w:tcPr>
          <w:p w14:paraId="068D1E6A" w14:textId="45140FD9" w:rsidR="00A271E8" w:rsidRPr="002313E8" w:rsidRDefault="004F5B55" w:rsidP="00A271E8">
            <w:pPr>
              <w:jc w:val="center"/>
              <w:rPr>
                <w:color w:val="FFFFFF" w:themeColor="background1"/>
              </w:rPr>
            </w:pPr>
            <w:r>
              <w:rPr>
                <w:color w:val="FFFFFF" w:themeColor="background1"/>
              </w:rPr>
              <w:t>Regional</w:t>
            </w:r>
          </w:p>
        </w:tc>
      </w:tr>
      <w:tr w:rsidR="00D83BBC" w14:paraId="33F67E49" w14:textId="5D4FFFC8" w:rsidTr="00FD7D6F">
        <w:trPr>
          <w:cantSplit/>
        </w:trPr>
        <w:tc>
          <w:tcPr>
            <w:tcW w:w="1881" w:type="dxa"/>
            <w:shd w:val="clear" w:color="auto" w:fill="D9D9D9" w:themeFill="background1" w:themeFillShade="D9"/>
            <w:vAlign w:val="center"/>
          </w:tcPr>
          <w:p w14:paraId="674C53BC" w14:textId="77777777" w:rsidR="00D83BBC" w:rsidRDefault="00D83BBC" w:rsidP="00D83BBC">
            <w:pPr>
              <w:jc w:val="center"/>
            </w:pPr>
            <w:r>
              <w:t>OP</w:t>
            </w:r>
          </w:p>
        </w:tc>
        <w:tc>
          <w:tcPr>
            <w:tcW w:w="1726" w:type="dxa"/>
          </w:tcPr>
          <w:p w14:paraId="6690CB88" w14:textId="40299EC9" w:rsidR="00D83BBC" w:rsidRPr="004F47D1" w:rsidRDefault="004C3D35" w:rsidP="00D83BBC">
            <w:pPr>
              <w:rPr>
                <w:i/>
                <w:color w:val="767171" w:themeColor="background2" w:themeShade="80"/>
              </w:rPr>
            </w:pPr>
            <w:r w:rsidRPr="004F47D1">
              <w:rPr>
                <w:i/>
                <w:color w:val="767171" w:themeColor="background2" w:themeShade="80"/>
              </w:rPr>
              <w:t>6-month auth. with no limit on sessions</w:t>
            </w:r>
          </w:p>
        </w:tc>
        <w:tc>
          <w:tcPr>
            <w:tcW w:w="2131" w:type="dxa"/>
          </w:tcPr>
          <w:p w14:paraId="76354F00" w14:textId="0A89DDE0" w:rsidR="00D83BBC" w:rsidRPr="004F47D1" w:rsidRDefault="00D83BBC" w:rsidP="00D83BBC">
            <w:pPr>
              <w:rPr>
                <w:i/>
                <w:color w:val="767171" w:themeColor="background2" w:themeShade="80"/>
              </w:rPr>
            </w:pPr>
            <w:r w:rsidRPr="004F47D1">
              <w:rPr>
                <w:i/>
                <w:color w:val="767171" w:themeColor="background2" w:themeShade="80"/>
              </w:rPr>
              <w:t>6-month auth. with no limit on sessions</w:t>
            </w:r>
          </w:p>
        </w:tc>
        <w:tc>
          <w:tcPr>
            <w:tcW w:w="2040" w:type="dxa"/>
            <w:tcBorders>
              <w:top w:val="single" w:sz="4" w:space="0" w:color="auto"/>
              <w:left w:val="single" w:sz="4" w:space="0" w:color="auto"/>
              <w:bottom w:val="single" w:sz="4" w:space="0" w:color="auto"/>
              <w:right w:val="single" w:sz="4" w:space="0" w:color="auto"/>
            </w:tcBorders>
          </w:tcPr>
          <w:p w14:paraId="7624AEEE" w14:textId="65E261D1" w:rsidR="00D83BBC" w:rsidRPr="004F47D1" w:rsidRDefault="00D83BBC" w:rsidP="00D83BBC">
            <w:pPr>
              <w:rPr>
                <w:i/>
                <w:color w:val="767171" w:themeColor="background2" w:themeShade="80"/>
              </w:rPr>
            </w:pPr>
            <w:r w:rsidRPr="004F47D1">
              <w:rPr>
                <w:i/>
                <w:color w:val="767171" w:themeColor="background2" w:themeShade="80"/>
              </w:rPr>
              <w:t>6-month auth. with no limit on sessions</w:t>
            </w:r>
          </w:p>
        </w:tc>
        <w:tc>
          <w:tcPr>
            <w:tcW w:w="2230" w:type="dxa"/>
          </w:tcPr>
          <w:p w14:paraId="7857CB15" w14:textId="53A5EC8C" w:rsidR="00D83BBC" w:rsidRPr="004F47D1" w:rsidRDefault="00D83BBC" w:rsidP="00D83BBC">
            <w:pPr>
              <w:rPr>
                <w:i/>
                <w:color w:val="767171" w:themeColor="background2" w:themeShade="80"/>
              </w:rPr>
            </w:pPr>
            <w:r w:rsidRPr="004F47D1">
              <w:rPr>
                <w:i/>
                <w:color w:val="767171" w:themeColor="background2" w:themeShade="80"/>
              </w:rPr>
              <w:t xml:space="preserve">6-month initial auth, capped at 20. </w:t>
            </w:r>
            <w:r w:rsidR="004F47D1">
              <w:rPr>
                <w:i/>
                <w:color w:val="767171" w:themeColor="background2" w:themeShade="80"/>
              </w:rPr>
              <w:t xml:space="preserve">Reauthorization </w:t>
            </w:r>
            <w:r w:rsidRPr="004F47D1">
              <w:rPr>
                <w:i/>
                <w:color w:val="767171" w:themeColor="background2" w:themeShade="80"/>
              </w:rPr>
              <w:t xml:space="preserve">up to 20 sessions. Current limit of 40 sessions per year unless more </w:t>
            </w:r>
            <w:r w:rsidR="004F47D1">
              <w:rPr>
                <w:i/>
                <w:color w:val="767171" w:themeColor="background2" w:themeShade="80"/>
              </w:rPr>
              <w:t>treatment</w:t>
            </w:r>
            <w:r w:rsidRPr="004F47D1">
              <w:rPr>
                <w:i/>
                <w:color w:val="767171" w:themeColor="background2" w:themeShade="80"/>
              </w:rPr>
              <w:t xml:space="preserve"> is clinically appropriate</w:t>
            </w:r>
          </w:p>
        </w:tc>
        <w:tc>
          <w:tcPr>
            <w:tcW w:w="2103" w:type="dxa"/>
          </w:tcPr>
          <w:p w14:paraId="40566B59" w14:textId="7F3B0FB9" w:rsidR="00D83BBC" w:rsidRDefault="00D83BBC" w:rsidP="60D26CE4">
            <w:pPr>
              <w:rPr>
                <w:i/>
                <w:iCs/>
                <w:color w:val="767171" w:themeColor="background2" w:themeShade="80"/>
              </w:rPr>
            </w:pPr>
            <w:r w:rsidRPr="60D26CE4">
              <w:rPr>
                <w:i/>
                <w:iCs/>
                <w:color w:val="767171" w:themeColor="background2" w:themeShade="80"/>
              </w:rPr>
              <w:t>6-month auth capped at 2</w:t>
            </w:r>
            <w:r w:rsidR="005849A5">
              <w:rPr>
                <w:i/>
                <w:iCs/>
                <w:color w:val="767171" w:themeColor="background2" w:themeShade="80"/>
              </w:rPr>
              <w:t>5</w:t>
            </w:r>
            <w:r w:rsidRPr="60D26CE4">
              <w:rPr>
                <w:i/>
                <w:iCs/>
                <w:color w:val="767171" w:themeColor="background2" w:themeShade="80"/>
              </w:rPr>
              <w:t xml:space="preserve"> sessions</w:t>
            </w:r>
          </w:p>
          <w:p w14:paraId="2FDA12E1" w14:textId="77777777" w:rsidR="004E234E" w:rsidRDefault="004E234E" w:rsidP="60D26CE4">
            <w:pPr>
              <w:rPr>
                <w:i/>
                <w:iCs/>
                <w:color w:val="767171" w:themeColor="background2" w:themeShade="80"/>
              </w:rPr>
            </w:pPr>
          </w:p>
          <w:p w14:paraId="5B16D0C0" w14:textId="17D73BC6" w:rsidR="004E234E" w:rsidRPr="00FD7D6F" w:rsidRDefault="004E234E" w:rsidP="60D26CE4">
            <w:pPr>
              <w:rPr>
                <w:b/>
                <w:bCs/>
                <w:color w:val="FF0000"/>
              </w:rPr>
            </w:pPr>
          </w:p>
        </w:tc>
        <w:tc>
          <w:tcPr>
            <w:tcW w:w="2279" w:type="dxa"/>
            <w:shd w:val="clear" w:color="auto" w:fill="C5E0B3" w:themeFill="accent6" w:themeFillTint="66"/>
          </w:tcPr>
          <w:p w14:paraId="75305F21" w14:textId="371CCF4E" w:rsidR="00D83BBC" w:rsidRDefault="00D83BBC" w:rsidP="00D83BBC">
            <w:pPr>
              <w:rPr>
                <w:b/>
              </w:rPr>
            </w:pPr>
            <w:r w:rsidRPr="00592A71">
              <w:rPr>
                <w:b/>
              </w:rPr>
              <w:t>6-month auth</w:t>
            </w:r>
            <w:r w:rsidR="004F5B55">
              <w:rPr>
                <w:b/>
              </w:rPr>
              <w:t>orization</w:t>
            </w:r>
            <w:r w:rsidRPr="00592A71">
              <w:rPr>
                <w:b/>
              </w:rPr>
              <w:t xml:space="preserve"> with </w:t>
            </w:r>
            <w:r w:rsidR="005849A5">
              <w:rPr>
                <w:b/>
              </w:rPr>
              <w:t xml:space="preserve">ongoing authorizations available </w:t>
            </w:r>
          </w:p>
          <w:p w14:paraId="29CA118B" w14:textId="77777777" w:rsidR="00C86ED7" w:rsidRDefault="00C86ED7" w:rsidP="00D83BBC">
            <w:pPr>
              <w:rPr>
                <w:b/>
              </w:rPr>
            </w:pPr>
          </w:p>
          <w:p w14:paraId="155333CA" w14:textId="5658B241" w:rsidR="004E7F1E" w:rsidRPr="00592A71" w:rsidRDefault="004E7F1E" w:rsidP="00D83BBC">
            <w:pPr>
              <w:rPr>
                <w:b/>
              </w:rPr>
            </w:pPr>
          </w:p>
        </w:tc>
      </w:tr>
      <w:tr w:rsidR="00D83BBC" w14:paraId="2FCFF408" w14:textId="27B13D2A" w:rsidTr="00FD7D6F">
        <w:trPr>
          <w:cantSplit/>
        </w:trPr>
        <w:tc>
          <w:tcPr>
            <w:tcW w:w="1881" w:type="dxa"/>
            <w:shd w:val="clear" w:color="auto" w:fill="D9D9D9" w:themeFill="background1" w:themeFillShade="D9"/>
            <w:vAlign w:val="center"/>
          </w:tcPr>
          <w:p w14:paraId="484CA141" w14:textId="14E90F6C" w:rsidR="00592A71" w:rsidRDefault="00D83BBC" w:rsidP="00592A71">
            <w:pPr>
              <w:jc w:val="center"/>
            </w:pPr>
            <w:r>
              <w:t>IO</w:t>
            </w:r>
            <w:r w:rsidR="004F47D1">
              <w:t>P</w:t>
            </w:r>
          </w:p>
          <w:p w14:paraId="12578F50" w14:textId="78988345" w:rsidR="00A379E8" w:rsidRPr="00A379E8" w:rsidRDefault="00A379E8" w:rsidP="00A379E8"/>
        </w:tc>
        <w:tc>
          <w:tcPr>
            <w:tcW w:w="1726" w:type="dxa"/>
          </w:tcPr>
          <w:p w14:paraId="7F05CA22" w14:textId="385ADC45" w:rsidR="004C3D35" w:rsidRPr="004F47D1" w:rsidRDefault="004C3D35" w:rsidP="004C3D35">
            <w:pPr>
              <w:rPr>
                <w:i/>
                <w:color w:val="767171" w:themeColor="background2" w:themeShade="80"/>
              </w:rPr>
            </w:pPr>
            <w:r w:rsidRPr="004F47D1">
              <w:rPr>
                <w:i/>
                <w:color w:val="767171" w:themeColor="background2" w:themeShade="80"/>
              </w:rPr>
              <w:t xml:space="preserve">Re-auth. </w:t>
            </w:r>
            <w:r w:rsidR="004E234E" w:rsidRPr="004F47D1">
              <w:rPr>
                <w:i/>
                <w:color w:val="767171" w:themeColor="background2" w:themeShade="80"/>
              </w:rPr>
              <w:t>A</w:t>
            </w:r>
            <w:r w:rsidRPr="004F47D1">
              <w:rPr>
                <w:i/>
                <w:color w:val="767171" w:themeColor="background2" w:themeShade="80"/>
              </w:rPr>
              <w:t xml:space="preserve">fter 25 sessions based on Medical Necessity </w:t>
            </w:r>
          </w:p>
          <w:p w14:paraId="19DB9879" w14:textId="1C2878E8" w:rsidR="00D83BBC" w:rsidRPr="004F47D1" w:rsidRDefault="004C3D35" w:rsidP="004C3D35">
            <w:pPr>
              <w:rPr>
                <w:i/>
                <w:color w:val="767171" w:themeColor="background2" w:themeShade="80"/>
              </w:rPr>
            </w:pPr>
            <w:r w:rsidRPr="004F47D1">
              <w:rPr>
                <w:i/>
                <w:color w:val="767171" w:themeColor="background2" w:themeShade="80"/>
              </w:rPr>
              <w:t>25 in treatment episode; each plan is based on unique needs of the individual.</w:t>
            </w:r>
          </w:p>
        </w:tc>
        <w:tc>
          <w:tcPr>
            <w:tcW w:w="2131" w:type="dxa"/>
          </w:tcPr>
          <w:p w14:paraId="54883F0C" w14:textId="5B6AA2DB" w:rsidR="00D83BBC" w:rsidRPr="004F47D1" w:rsidRDefault="00D83BBC" w:rsidP="00D83BBC">
            <w:pPr>
              <w:rPr>
                <w:i/>
                <w:color w:val="767171" w:themeColor="background2" w:themeShade="80"/>
              </w:rPr>
            </w:pPr>
            <w:r w:rsidRPr="004F47D1">
              <w:rPr>
                <w:i/>
                <w:color w:val="767171" w:themeColor="background2" w:themeShade="80"/>
              </w:rPr>
              <w:t xml:space="preserve">Re-auth. </w:t>
            </w:r>
            <w:r w:rsidR="004E234E" w:rsidRPr="004F47D1">
              <w:rPr>
                <w:i/>
                <w:color w:val="767171" w:themeColor="background2" w:themeShade="80"/>
              </w:rPr>
              <w:t>A</w:t>
            </w:r>
            <w:r w:rsidRPr="004F47D1">
              <w:rPr>
                <w:i/>
                <w:color w:val="767171" w:themeColor="background2" w:themeShade="80"/>
              </w:rPr>
              <w:t>fter 25 sessions</w:t>
            </w:r>
          </w:p>
          <w:p w14:paraId="4421ACE8" w14:textId="09E78874" w:rsidR="00D83BBC" w:rsidRPr="004F47D1" w:rsidRDefault="00D83BBC" w:rsidP="00D83BBC">
            <w:pPr>
              <w:rPr>
                <w:i/>
                <w:color w:val="767171" w:themeColor="background2" w:themeShade="80"/>
              </w:rPr>
            </w:pPr>
            <w:r w:rsidRPr="004F47D1">
              <w:rPr>
                <w:i/>
                <w:color w:val="767171" w:themeColor="background2" w:themeShade="80"/>
              </w:rPr>
              <w:t>25 in treatment episode; each plan is based on unique needs of the individual.</w:t>
            </w:r>
          </w:p>
        </w:tc>
        <w:tc>
          <w:tcPr>
            <w:tcW w:w="2040" w:type="dxa"/>
            <w:tcBorders>
              <w:top w:val="single" w:sz="4" w:space="0" w:color="auto"/>
              <w:left w:val="single" w:sz="4" w:space="0" w:color="auto"/>
              <w:bottom w:val="single" w:sz="4" w:space="0" w:color="auto"/>
              <w:right w:val="single" w:sz="4" w:space="0" w:color="auto"/>
            </w:tcBorders>
          </w:tcPr>
          <w:p w14:paraId="38528A8F" w14:textId="38CF82B1" w:rsidR="00D83BBC" w:rsidRPr="004F47D1" w:rsidRDefault="00D83BBC" w:rsidP="00D83BBC">
            <w:pPr>
              <w:rPr>
                <w:i/>
                <w:color w:val="767171" w:themeColor="background2" w:themeShade="80"/>
              </w:rPr>
            </w:pPr>
            <w:r w:rsidRPr="004F47D1">
              <w:rPr>
                <w:i/>
                <w:color w:val="767171" w:themeColor="background2" w:themeShade="80"/>
              </w:rPr>
              <w:t>This service is not available in our area.</w:t>
            </w:r>
          </w:p>
        </w:tc>
        <w:tc>
          <w:tcPr>
            <w:tcW w:w="2230" w:type="dxa"/>
          </w:tcPr>
          <w:p w14:paraId="519A66A4" w14:textId="6CABE3AF" w:rsidR="00D83BBC" w:rsidRPr="004F47D1" w:rsidRDefault="00D83BBC" w:rsidP="00D83BBC">
            <w:pPr>
              <w:rPr>
                <w:i/>
                <w:color w:val="767171" w:themeColor="background2" w:themeShade="80"/>
              </w:rPr>
            </w:pPr>
            <w:r w:rsidRPr="004F47D1">
              <w:rPr>
                <w:i/>
                <w:color w:val="767171" w:themeColor="background2" w:themeShade="80"/>
              </w:rPr>
              <w:t xml:space="preserve">6-month initial auth for 21 sessions. Will approve </w:t>
            </w:r>
            <w:r w:rsidR="004F47D1">
              <w:rPr>
                <w:i/>
                <w:color w:val="767171" w:themeColor="background2" w:themeShade="80"/>
              </w:rPr>
              <w:t>additional</w:t>
            </w:r>
            <w:r w:rsidRPr="004F47D1">
              <w:rPr>
                <w:i/>
                <w:color w:val="767171" w:themeColor="background2" w:themeShade="80"/>
              </w:rPr>
              <w:t xml:space="preserve"> if medically necessary. </w:t>
            </w:r>
          </w:p>
        </w:tc>
        <w:tc>
          <w:tcPr>
            <w:tcW w:w="2103" w:type="dxa"/>
          </w:tcPr>
          <w:p w14:paraId="0F7C6B19" w14:textId="4687F339" w:rsidR="00D83BBC" w:rsidRDefault="00D83BBC" w:rsidP="00D83BBC">
            <w:pPr>
              <w:rPr>
                <w:iCs/>
                <w:color w:val="767171" w:themeColor="background2" w:themeShade="80"/>
              </w:rPr>
            </w:pPr>
            <w:r w:rsidRPr="004F47D1">
              <w:rPr>
                <w:i/>
                <w:color w:val="767171" w:themeColor="background2" w:themeShade="80"/>
              </w:rPr>
              <w:t>6-month auth</w:t>
            </w:r>
            <w:r w:rsidR="005849A5">
              <w:rPr>
                <w:i/>
                <w:color w:val="767171" w:themeColor="background2" w:themeShade="80"/>
              </w:rPr>
              <w:t>, based on medical necessity,</w:t>
            </w:r>
            <w:r w:rsidRPr="004F47D1">
              <w:rPr>
                <w:i/>
                <w:color w:val="767171" w:themeColor="background2" w:themeShade="80"/>
              </w:rPr>
              <w:t xml:space="preserve"> capped at 21 IOP group sessions.  Minimal individual and case management can be authorized with justification</w:t>
            </w:r>
          </w:p>
          <w:p w14:paraId="10AB02BD" w14:textId="77777777" w:rsidR="004E234E" w:rsidRDefault="004E234E" w:rsidP="00D83BBC">
            <w:pPr>
              <w:rPr>
                <w:iCs/>
                <w:color w:val="767171" w:themeColor="background2" w:themeShade="80"/>
              </w:rPr>
            </w:pPr>
          </w:p>
          <w:p w14:paraId="2B60817D" w14:textId="23BB4F04" w:rsidR="004E234E" w:rsidRPr="00FD7D6F" w:rsidRDefault="004E234E" w:rsidP="00D83BBC">
            <w:pPr>
              <w:rPr>
                <w:b/>
                <w:bCs/>
                <w:iCs/>
                <w:color w:val="767171" w:themeColor="background2" w:themeShade="80"/>
              </w:rPr>
            </w:pPr>
          </w:p>
        </w:tc>
        <w:tc>
          <w:tcPr>
            <w:tcW w:w="2279" w:type="dxa"/>
            <w:shd w:val="clear" w:color="auto" w:fill="C5E0B3" w:themeFill="accent6" w:themeFillTint="66"/>
          </w:tcPr>
          <w:p w14:paraId="1ACC26A0" w14:textId="42025414" w:rsidR="00D83BBC" w:rsidRPr="00592A71" w:rsidRDefault="00D83BBC" w:rsidP="00D83BBC">
            <w:pPr>
              <w:rPr>
                <w:b/>
              </w:rPr>
            </w:pPr>
            <w:r w:rsidRPr="00592A71">
              <w:rPr>
                <w:b/>
              </w:rPr>
              <w:t>Re-auth</w:t>
            </w:r>
            <w:r w:rsidR="004F5B55">
              <w:rPr>
                <w:b/>
              </w:rPr>
              <w:t>orization</w:t>
            </w:r>
            <w:r w:rsidRPr="00592A71">
              <w:rPr>
                <w:b/>
              </w:rPr>
              <w:t xml:space="preserve"> after 25 sessions based on Medical Necessity</w:t>
            </w:r>
            <w:r w:rsidR="007E5863">
              <w:rPr>
                <w:b/>
              </w:rPr>
              <w:t>.</w:t>
            </w:r>
          </w:p>
          <w:p w14:paraId="19D14D6F" w14:textId="7D84096A" w:rsidR="00D83BBC" w:rsidRDefault="00D83BBC" w:rsidP="00D83BBC">
            <w:pPr>
              <w:rPr>
                <w:b/>
              </w:rPr>
            </w:pPr>
            <w:r w:rsidRPr="00592A71">
              <w:rPr>
                <w:b/>
              </w:rPr>
              <w:t>25</w:t>
            </w:r>
            <w:r w:rsidR="005849A5">
              <w:rPr>
                <w:b/>
              </w:rPr>
              <w:t xml:space="preserve"> sessions </w:t>
            </w:r>
            <w:proofErr w:type="gramStart"/>
            <w:r w:rsidR="005849A5">
              <w:rPr>
                <w:b/>
              </w:rPr>
              <w:t xml:space="preserve">are </w:t>
            </w:r>
            <w:r w:rsidRPr="00592A71">
              <w:rPr>
                <w:b/>
              </w:rPr>
              <w:t xml:space="preserve"> in</w:t>
            </w:r>
            <w:proofErr w:type="gramEnd"/>
            <w:r w:rsidRPr="00592A71">
              <w:rPr>
                <w:b/>
              </w:rPr>
              <w:t xml:space="preserve"> </w:t>
            </w:r>
            <w:r w:rsidR="005849A5">
              <w:rPr>
                <w:b/>
              </w:rPr>
              <w:t xml:space="preserve">a </w:t>
            </w:r>
            <w:r w:rsidRPr="00592A71">
              <w:rPr>
                <w:b/>
              </w:rPr>
              <w:t xml:space="preserve">treatment episode; each plan is based on unique needs of the individual. </w:t>
            </w:r>
          </w:p>
          <w:p w14:paraId="602B419D" w14:textId="77777777" w:rsidR="00C86ED7" w:rsidRDefault="00C86ED7" w:rsidP="00D83BBC">
            <w:pPr>
              <w:rPr>
                <w:b/>
              </w:rPr>
            </w:pPr>
          </w:p>
          <w:p w14:paraId="30545F12" w14:textId="1BC2B031" w:rsidR="004E7F1E" w:rsidRPr="00592A71" w:rsidRDefault="004E7F1E" w:rsidP="00D83BBC">
            <w:pPr>
              <w:rPr>
                <w:b/>
              </w:rPr>
            </w:pPr>
          </w:p>
        </w:tc>
      </w:tr>
      <w:tr w:rsidR="00FF12DE" w14:paraId="2EE6D26E" w14:textId="1F18F827" w:rsidTr="00FD7D6F">
        <w:trPr>
          <w:cantSplit/>
        </w:trPr>
        <w:tc>
          <w:tcPr>
            <w:tcW w:w="1881" w:type="dxa"/>
            <w:shd w:val="clear" w:color="auto" w:fill="D9D9D9" w:themeFill="background1" w:themeFillShade="D9"/>
            <w:vAlign w:val="center"/>
          </w:tcPr>
          <w:p w14:paraId="79F4F39B" w14:textId="77777777" w:rsidR="00FF12DE" w:rsidRDefault="00FF12DE" w:rsidP="00FF12DE">
            <w:pPr>
              <w:jc w:val="center"/>
            </w:pPr>
            <w:r>
              <w:lastRenderedPageBreak/>
              <w:t>MAT</w:t>
            </w:r>
          </w:p>
          <w:p w14:paraId="57D19D1D" w14:textId="13C52793" w:rsidR="00FF12DE" w:rsidRDefault="00FF12DE" w:rsidP="00FF12DE">
            <w:pPr>
              <w:jc w:val="center"/>
            </w:pPr>
            <w:r>
              <w:t>(Methadone)</w:t>
            </w:r>
          </w:p>
        </w:tc>
        <w:tc>
          <w:tcPr>
            <w:tcW w:w="1726" w:type="dxa"/>
            <w:shd w:val="clear" w:color="auto" w:fill="DEEAF6" w:themeFill="accent1" w:themeFillTint="33"/>
          </w:tcPr>
          <w:p w14:paraId="4D1DE9E2" w14:textId="1934C06C" w:rsidR="00FF12DE" w:rsidRPr="004F47D1" w:rsidRDefault="00FF12DE" w:rsidP="00FF12DE">
            <w:pPr>
              <w:rPr>
                <w:i/>
                <w:color w:val="767171" w:themeColor="background2" w:themeShade="80"/>
              </w:rPr>
            </w:pPr>
            <w:r w:rsidRPr="004F47D1">
              <w:rPr>
                <w:i/>
                <w:color w:val="767171" w:themeColor="background2" w:themeShade="80"/>
              </w:rPr>
              <w:t>Up to 90-day initial auth. If client doing well auth. is moved to 180 days.  If client is using other drugs 90 auth. is made</w:t>
            </w:r>
          </w:p>
        </w:tc>
        <w:tc>
          <w:tcPr>
            <w:tcW w:w="2131" w:type="dxa"/>
            <w:shd w:val="clear" w:color="auto" w:fill="DEEAF6" w:themeFill="accent1" w:themeFillTint="33"/>
          </w:tcPr>
          <w:p w14:paraId="1F8542F2" w14:textId="3EEBFD48" w:rsidR="00FF12DE" w:rsidRPr="004F47D1" w:rsidRDefault="00FF12DE" w:rsidP="00FF12DE">
            <w:pPr>
              <w:rPr>
                <w:i/>
                <w:color w:val="767171" w:themeColor="background2" w:themeShade="80"/>
              </w:rPr>
            </w:pPr>
            <w:r w:rsidRPr="004F47D1">
              <w:rPr>
                <w:i/>
                <w:color w:val="767171" w:themeColor="background2" w:themeShade="80"/>
              </w:rPr>
              <w:t>Up to 90-day initial auth. If client doing well auth. is moved to 180 days.  If client is using other drugs 90 auth. is made</w:t>
            </w:r>
          </w:p>
        </w:tc>
        <w:tc>
          <w:tcPr>
            <w:tcW w:w="2040" w:type="dxa"/>
            <w:shd w:val="clear" w:color="auto" w:fill="DEEAF6" w:themeFill="accent1" w:themeFillTint="33"/>
          </w:tcPr>
          <w:p w14:paraId="5665F67C" w14:textId="5B35CB7A" w:rsidR="00FF12DE" w:rsidRPr="004F47D1" w:rsidRDefault="00FF12DE" w:rsidP="00FF12DE">
            <w:pPr>
              <w:rPr>
                <w:i/>
                <w:color w:val="767171" w:themeColor="background2" w:themeShade="80"/>
              </w:rPr>
            </w:pPr>
            <w:r w:rsidRPr="004F47D1">
              <w:rPr>
                <w:i/>
                <w:color w:val="767171" w:themeColor="background2" w:themeShade="80"/>
              </w:rPr>
              <w:t>Up to 90-day initial auth. If client doing well auth. is moved to 180 days.  If client is using other drugs 90 auth. is made</w:t>
            </w:r>
          </w:p>
        </w:tc>
        <w:tc>
          <w:tcPr>
            <w:tcW w:w="2230" w:type="dxa"/>
            <w:shd w:val="clear" w:color="auto" w:fill="DEEAF6" w:themeFill="accent1" w:themeFillTint="33"/>
          </w:tcPr>
          <w:p w14:paraId="20ADD235" w14:textId="7F3BE974" w:rsidR="00FF12DE" w:rsidRPr="004F47D1" w:rsidRDefault="00FF12DE" w:rsidP="00FF12DE">
            <w:pPr>
              <w:rPr>
                <w:i/>
                <w:color w:val="767171" w:themeColor="background2" w:themeShade="80"/>
              </w:rPr>
            </w:pPr>
            <w:r w:rsidRPr="004F47D1">
              <w:rPr>
                <w:i/>
                <w:color w:val="767171" w:themeColor="background2" w:themeShade="80"/>
              </w:rPr>
              <w:t>Up to 90-day initial auth. If client doing well auth. is moved to 180 days.  If client is using other drugs 90 auth. is made</w:t>
            </w:r>
          </w:p>
        </w:tc>
        <w:tc>
          <w:tcPr>
            <w:tcW w:w="2103" w:type="dxa"/>
            <w:shd w:val="clear" w:color="auto" w:fill="DEEAF6" w:themeFill="accent1" w:themeFillTint="33"/>
          </w:tcPr>
          <w:p w14:paraId="476608F4" w14:textId="707BE487" w:rsidR="00FF12DE" w:rsidRPr="004F47D1" w:rsidRDefault="00FF12DE" w:rsidP="00FF12DE">
            <w:pPr>
              <w:rPr>
                <w:i/>
                <w:color w:val="767171" w:themeColor="background2" w:themeShade="80"/>
              </w:rPr>
            </w:pPr>
            <w:r w:rsidRPr="004F47D1">
              <w:rPr>
                <w:i/>
                <w:color w:val="767171" w:themeColor="background2" w:themeShade="80"/>
              </w:rPr>
              <w:t xml:space="preserve">Up to 90-day initial auth. If client doing well auth. is moved to 120 days.  Weekly drug screens.  Weekly to bi-weekly individual therapy.  Outpatient group if needed.  E&amp;M monthly (or more frequent if medically necessary for stabilization) </w:t>
            </w:r>
          </w:p>
        </w:tc>
        <w:tc>
          <w:tcPr>
            <w:tcW w:w="2279" w:type="dxa"/>
            <w:shd w:val="clear" w:color="auto" w:fill="C5E0B3" w:themeFill="accent6" w:themeFillTint="66"/>
          </w:tcPr>
          <w:p w14:paraId="0214C635" w14:textId="16EE0B77" w:rsidR="007E5863" w:rsidRDefault="00FF12DE" w:rsidP="00FF12DE">
            <w:pPr>
              <w:rPr>
                <w:b/>
              </w:rPr>
            </w:pPr>
            <w:r w:rsidRPr="00592A71">
              <w:rPr>
                <w:b/>
              </w:rPr>
              <w:t xml:space="preserve">Up to </w:t>
            </w:r>
            <w:r w:rsidR="005849A5">
              <w:rPr>
                <w:b/>
              </w:rPr>
              <w:t>180</w:t>
            </w:r>
            <w:r w:rsidRPr="00592A71">
              <w:rPr>
                <w:b/>
              </w:rPr>
              <w:t>-day initial auth</w:t>
            </w:r>
            <w:r w:rsidR="007E5863">
              <w:rPr>
                <w:b/>
              </w:rPr>
              <w:t>orization</w:t>
            </w:r>
            <w:r w:rsidRPr="00592A71">
              <w:rPr>
                <w:b/>
              </w:rPr>
              <w:t xml:space="preserve">. </w:t>
            </w:r>
          </w:p>
          <w:p w14:paraId="4C989D0C" w14:textId="77777777" w:rsidR="00C86ED7" w:rsidRDefault="00C86ED7" w:rsidP="00FF12DE">
            <w:pPr>
              <w:rPr>
                <w:b/>
              </w:rPr>
            </w:pPr>
          </w:p>
          <w:p w14:paraId="30726058" w14:textId="23B7E578" w:rsidR="004E7F1E" w:rsidRPr="00592A71" w:rsidRDefault="004E7F1E" w:rsidP="00FF12DE">
            <w:pPr>
              <w:rPr>
                <w:b/>
              </w:rPr>
            </w:pPr>
          </w:p>
        </w:tc>
      </w:tr>
      <w:tr w:rsidR="00D83BBC" w14:paraId="086D7C62" w14:textId="0FDA386F" w:rsidTr="00FD7D6F">
        <w:trPr>
          <w:cantSplit/>
        </w:trPr>
        <w:tc>
          <w:tcPr>
            <w:tcW w:w="1881" w:type="dxa"/>
            <w:shd w:val="clear" w:color="auto" w:fill="D9D9D9" w:themeFill="background1" w:themeFillShade="D9"/>
            <w:vAlign w:val="center"/>
          </w:tcPr>
          <w:p w14:paraId="6823A438" w14:textId="77777777" w:rsidR="00D83BBC" w:rsidRDefault="00D83BBC" w:rsidP="00D83BBC">
            <w:pPr>
              <w:jc w:val="center"/>
            </w:pPr>
            <w:r>
              <w:t>Detox</w:t>
            </w:r>
          </w:p>
        </w:tc>
        <w:tc>
          <w:tcPr>
            <w:tcW w:w="1726" w:type="dxa"/>
          </w:tcPr>
          <w:p w14:paraId="112D47BA" w14:textId="2C9F5E9B" w:rsidR="00D83BBC" w:rsidRPr="004F47D1" w:rsidRDefault="005846B9" w:rsidP="00D83BBC">
            <w:pPr>
              <w:rPr>
                <w:i/>
                <w:color w:val="767171" w:themeColor="background2" w:themeShade="80"/>
              </w:rPr>
            </w:pPr>
            <w:r w:rsidRPr="004F47D1">
              <w:rPr>
                <w:i/>
                <w:color w:val="767171" w:themeColor="background2" w:themeShade="80"/>
              </w:rPr>
              <w:t>3 days for alcohol, 2 days for Opiates with a transfer to MAT at SSC, 5 days for benzos or opiates with no MAT.  Re-auth. 1 day based on continued medical symptoms.</w:t>
            </w:r>
          </w:p>
        </w:tc>
        <w:tc>
          <w:tcPr>
            <w:tcW w:w="2131" w:type="dxa"/>
          </w:tcPr>
          <w:p w14:paraId="3A5FE584" w14:textId="5825DA80" w:rsidR="00D83BBC" w:rsidRPr="004F47D1" w:rsidRDefault="00D83BBC" w:rsidP="00D83BBC">
            <w:pPr>
              <w:rPr>
                <w:i/>
                <w:color w:val="767171" w:themeColor="background2" w:themeShade="80"/>
              </w:rPr>
            </w:pPr>
            <w:r w:rsidRPr="004F47D1">
              <w:rPr>
                <w:i/>
                <w:color w:val="767171" w:themeColor="background2" w:themeShade="80"/>
              </w:rPr>
              <w:t>3 days for alcohol, 2 days for Opiates with a transfer to MAT at SSC, 5 days for benzos or opiates with no MAT.  Re-auth. 1 day based on continued medical symptoms.</w:t>
            </w:r>
          </w:p>
        </w:tc>
        <w:tc>
          <w:tcPr>
            <w:tcW w:w="2040" w:type="dxa"/>
            <w:tcBorders>
              <w:top w:val="single" w:sz="4" w:space="0" w:color="auto"/>
              <w:left w:val="single" w:sz="4" w:space="0" w:color="auto"/>
              <w:bottom w:val="single" w:sz="4" w:space="0" w:color="auto"/>
              <w:right w:val="single" w:sz="4" w:space="0" w:color="auto"/>
            </w:tcBorders>
          </w:tcPr>
          <w:p w14:paraId="7820B84F" w14:textId="77777777" w:rsidR="00B57D04" w:rsidRDefault="00D83BBC" w:rsidP="00D83BBC">
            <w:pPr>
              <w:rPr>
                <w:i/>
                <w:color w:val="767171" w:themeColor="background2" w:themeShade="80"/>
              </w:rPr>
            </w:pPr>
            <w:r w:rsidRPr="004F47D1">
              <w:rPr>
                <w:i/>
                <w:color w:val="767171" w:themeColor="background2" w:themeShade="80"/>
              </w:rPr>
              <w:t xml:space="preserve">3 days for alcohol, 2 days for Opiates with a transfer to MAT at SSC, 5 days for benzos or opiates with no MAT. </w:t>
            </w:r>
          </w:p>
          <w:p w14:paraId="0BF4C562" w14:textId="1A4BB6B2" w:rsidR="00D83BBC" w:rsidRPr="004F47D1" w:rsidRDefault="00D83BBC" w:rsidP="00D83BBC">
            <w:pPr>
              <w:rPr>
                <w:i/>
                <w:color w:val="767171" w:themeColor="background2" w:themeShade="80"/>
              </w:rPr>
            </w:pPr>
            <w:r w:rsidRPr="004F47D1">
              <w:rPr>
                <w:i/>
                <w:color w:val="767171" w:themeColor="background2" w:themeShade="80"/>
              </w:rPr>
              <w:t>Re-auth</w:t>
            </w:r>
            <w:r w:rsidR="00282C0E">
              <w:rPr>
                <w:i/>
                <w:color w:val="767171" w:themeColor="background2" w:themeShade="80"/>
              </w:rPr>
              <w:t>orization</w:t>
            </w:r>
            <w:r w:rsidRPr="004F47D1">
              <w:rPr>
                <w:i/>
                <w:color w:val="767171" w:themeColor="background2" w:themeShade="80"/>
              </w:rPr>
              <w:t xml:space="preserve">. 1 day based on continued medical </w:t>
            </w:r>
            <w:r w:rsidR="00B57D04">
              <w:rPr>
                <w:i/>
                <w:color w:val="767171" w:themeColor="background2" w:themeShade="80"/>
              </w:rPr>
              <w:t>symptoms</w:t>
            </w:r>
            <w:r w:rsidRPr="004F47D1">
              <w:rPr>
                <w:i/>
                <w:color w:val="767171" w:themeColor="background2" w:themeShade="80"/>
              </w:rPr>
              <w:t>.</w:t>
            </w:r>
          </w:p>
        </w:tc>
        <w:tc>
          <w:tcPr>
            <w:tcW w:w="2230" w:type="dxa"/>
          </w:tcPr>
          <w:p w14:paraId="4844FE91" w14:textId="5268E3D1" w:rsidR="00D83BBC" w:rsidRPr="004F47D1" w:rsidRDefault="00D83BBC" w:rsidP="00D83BBC">
            <w:pPr>
              <w:rPr>
                <w:i/>
                <w:color w:val="767171" w:themeColor="background2" w:themeShade="80"/>
              </w:rPr>
            </w:pPr>
            <w:r w:rsidRPr="004F47D1">
              <w:rPr>
                <w:i/>
                <w:color w:val="767171" w:themeColor="background2" w:themeShade="80"/>
              </w:rPr>
              <w:t xml:space="preserve">3 days for alcohol, 5 days for opiates/benzos. </w:t>
            </w:r>
            <w:r w:rsidR="00282C0E">
              <w:rPr>
                <w:i/>
                <w:color w:val="767171" w:themeColor="background2" w:themeShade="80"/>
              </w:rPr>
              <w:t>Additional</w:t>
            </w:r>
            <w:r w:rsidRPr="004F47D1">
              <w:rPr>
                <w:i/>
                <w:color w:val="767171" w:themeColor="background2" w:themeShade="80"/>
              </w:rPr>
              <w:t xml:space="preserve"> days approved if medically necessary. Cocaine/meth no detox, just short</w:t>
            </w:r>
            <w:r w:rsidR="00282C0E">
              <w:rPr>
                <w:i/>
                <w:color w:val="767171" w:themeColor="background2" w:themeShade="80"/>
              </w:rPr>
              <w:t>-</w:t>
            </w:r>
            <w:r w:rsidRPr="004F47D1">
              <w:rPr>
                <w:i/>
                <w:color w:val="767171" w:themeColor="background2" w:themeShade="80"/>
              </w:rPr>
              <w:t>term res</w:t>
            </w:r>
          </w:p>
        </w:tc>
        <w:tc>
          <w:tcPr>
            <w:tcW w:w="2103" w:type="dxa"/>
          </w:tcPr>
          <w:p w14:paraId="19E6E2D6" w14:textId="78680899" w:rsidR="00D83BBC" w:rsidRPr="004F47D1" w:rsidRDefault="00D83BBC" w:rsidP="00D83BBC">
            <w:pPr>
              <w:rPr>
                <w:i/>
                <w:color w:val="767171" w:themeColor="background2" w:themeShade="80"/>
              </w:rPr>
            </w:pPr>
            <w:r w:rsidRPr="004F47D1">
              <w:rPr>
                <w:i/>
                <w:color w:val="767171" w:themeColor="background2" w:themeShade="80"/>
              </w:rPr>
              <w:t xml:space="preserve">For alcohol initial 3 days, </w:t>
            </w:r>
            <w:r w:rsidR="00282C0E">
              <w:rPr>
                <w:i/>
                <w:color w:val="767171" w:themeColor="background2" w:themeShade="80"/>
              </w:rPr>
              <w:t>reauthorization</w:t>
            </w:r>
            <w:r w:rsidRPr="004F47D1">
              <w:rPr>
                <w:i/>
                <w:color w:val="767171" w:themeColor="background2" w:themeShade="80"/>
              </w:rPr>
              <w:t xml:space="preserve"> as needed; for opiates and benzos, initial 5 days, </w:t>
            </w:r>
            <w:r w:rsidR="00282C0E">
              <w:rPr>
                <w:i/>
                <w:color w:val="767171" w:themeColor="background2" w:themeShade="80"/>
              </w:rPr>
              <w:t>reauthorization</w:t>
            </w:r>
            <w:r w:rsidRPr="004F47D1">
              <w:rPr>
                <w:i/>
                <w:color w:val="767171" w:themeColor="background2" w:themeShade="80"/>
              </w:rPr>
              <w:t xml:space="preserve"> as needed</w:t>
            </w:r>
          </w:p>
        </w:tc>
        <w:tc>
          <w:tcPr>
            <w:tcW w:w="2279" w:type="dxa"/>
            <w:shd w:val="clear" w:color="auto" w:fill="C5E0B3" w:themeFill="accent6" w:themeFillTint="66"/>
          </w:tcPr>
          <w:p w14:paraId="22CAF84D" w14:textId="2F2CB27F" w:rsidR="00EE65AE" w:rsidRDefault="005849A5" w:rsidP="00D83BBC">
            <w:pPr>
              <w:rPr>
                <w:b/>
              </w:rPr>
            </w:pPr>
            <w:r>
              <w:rPr>
                <w:b/>
              </w:rPr>
              <w:t>Up to 5 days depending on substance of use. (</w:t>
            </w:r>
            <w:r w:rsidR="00D83BBC" w:rsidRPr="00592A71">
              <w:rPr>
                <w:b/>
              </w:rPr>
              <w:t>3 days for alcohol, 2 days for Opiates with a transfer to MAT</w:t>
            </w:r>
            <w:r>
              <w:rPr>
                <w:b/>
              </w:rPr>
              <w:t>)</w:t>
            </w:r>
            <w:r w:rsidR="003E11E3">
              <w:rPr>
                <w:b/>
              </w:rPr>
              <w:t xml:space="preserve"> exceptions reviewed on a case-by-case basis for non-referral to MAT</w:t>
            </w:r>
          </w:p>
          <w:p w14:paraId="3EE4C926" w14:textId="1C25DB3D" w:rsidR="00EE65AE" w:rsidRDefault="0011770A" w:rsidP="00D83BBC">
            <w:pPr>
              <w:rPr>
                <w:b/>
              </w:rPr>
            </w:pPr>
            <w:r>
              <w:rPr>
                <w:b/>
              </w:rPr>
              <w:t xml:space="preserve">Coordination and referral </w:t>
            </w:r>
            <w:r w:rsidR="00C84321">
              <w:rPr>
                <w:b/>
              </w:rPr>
              <w:t xml:space="preserve"> </w:t>
            </w:r>
          </w:p>
          <w:p w14:paraId="5880ECE5" w14:textId="77777777" w:rsidR="00D83BBC" w:rsidRDefault="00D83BBC" w:rsidP="00D83BBC">
            <w:pPr>
              <w:rPr>
                <w:b/>
              </w:rPr>
            </w:pPr>
            <w:r w:rsidRPr="00592A71">
              <w:rPr>
                <w:b/>
              </w:rPr>
              <w:t>5 days for benzos or opiates with no MAT.  Re-auth</w:t>
            </w:r>
            <w:r w:rsidR="0086301B">
              <w:rPr>
                <w:b/>
              </w:rPr>
              <w:t>orization</w:t>
            </w:r>
            <w:r w:rsidRPr="00592A71">
              <w:rPr>
                <w:b/>
              </w:rPr>
              <w:t xml:space="preserve"> 1 day based on continued medical symptoms.</w:t>
            </w:r>
          </w:p>
          <w:p w14:paraId="50313510" w14:textId="77777777" w:rsidR="00C86ED7" w:rsidRDefault="00C86ED7" w:rsidP="00D83BBC">
            <w:pPr>
              <w:rPr>
                <w:b/>
              </w:rPr>
            </w:pPr>
          </w:p>
          <w:p w14:paraId="4998DD45" w14:textId="30506BDA" w:rsidR="004E7F1E" w:rsidRPr="00592A71" w:rsidRDefault="004E7F1E" w:rsidP="00D83BBC">
            <w:pPr>
              <w:rPr>
                <w:b/>
              </w:rPr>
            </w:pPr>
          </w:p>
        </w:tc>
      </w:tr>
      <w:tr w:rsidR="00D83BBC" w14:paraId="2D1D0ED7" w14:textId="21D93A05" w:rsidTr="00FD7D6F">
        <w:trPr>
          <w:cantSplit/>
        </w:trPr>
        <w:tc>
          <w:tcPr>
            <w:tcW w:w="1881" w:type="dxa"/>
            <w:shd w:val="clear" w:color="auto" w:fill="D9D9D9" w:themeFill="background1" w:themeFillShade="D9"/>
            <w:vAlign w:val="center"/>
          </w:tcPr>
          <w:p w14:paraId="6B4966AF" w14:textId="12CE9ED0" w:rsidR="00D83BBC" w:rsidRDefault="00D83BBC" w:rsidP="00D83BBC">
            <w:pPr>
              <w:jc w:val="center"/>
            </w:pPr>
            <w:r>
              <w:lastRenderedPageBreak/>
              <w:t>Long Term Residential</w:t>
            </w:r>
          </w:p>
        </w:tc>
        <w:tc>
          <w:tcPr>
            <w:tcW w:w="1726" w:type="dxa"/>
          </w:tcPr>
          <w:p w14:paraId="0FBFB43C" w14:textId="4A048D69" w:rsidR="00D83BBC" w:rsidRPr="004F47D1" w:rsidRDefault="005846B9" w:rsidP="00D83BBC">
            <w:pPr>
              <w:rPr>
                <w:i/>
                <w:color w:val="767171" w:themeColor="background2" w:themeShade="80"/>
              </w:rPr>
            </w:pPr>
            <w:r w:rsidRPr="004F47D1">
              <w:rPr>
                <w:i/>
                <w:color w:val="767171" w:themeColor="background2" w:themeShade="80"/>
              </w:rPr>
              <w:t>Up to 22 days for LTR with re-auth. as clinically appropriate (up to 90 days maximum). Can be reviewed sooner if UM desires.</w:t>
            </w:r>
          </w:p>
        </w:tc>
        <w:tc>
          <w:tcPr>
            <w:tcW w:w="2131" w:type="dxa"/>
          </w:tcPr>
          <w:p w14:paraId="79F5326B" w14:textId="2BB1CE03" w:rsidR="00D83BBC" w:rsidRPr="004F47D1" w:rsidRDefault="005846B9" w:rsidP="00D83BBC">
            <w:pPr>
              <w:rPr>
                <w:i/>
                <w:color w:val="767171" w:themeColor="background2" w:themeShade="80"/>
              </w:rPr>
            </w:pPr>
            <w:r w:rsidRPr="004F47D1">
              <w:rPr>
                <w:i/>
                <w:color w:val="767171" w:themeColor="background2" w:themeShade="80"/>
              </w:rPr>
              <w:t>Up to 22 days for LTR with re-auth. as clinically appropriate (up to 90 days maximum). Can be reviewed sooner if UM desires.</w:t>
            </w:r>
          </w:p>
        </w:tc>
        <w:tc>
          <w:tcPr>
            <w:tcW w:w="2040" w:type="dxa"/>
            <w:tcBorders>
              <w:top w:val="single" w:sz="4" w:space="0" w:color="auto"/>
              <w:left w:val="single" w:sz="4" w:space="0" w:color="auto"/>
              <w:bottom w:val="single" w:sz="4" w:space="0" w:color="auto"/>
              <w:right w:val="single" w:sz="4" w:space="0" w:color="auto"/>
            </w:tcBorders>
          </w:tcPr>
          <w:p w14:paraId="4E9C33F9" w14:textId="26641AF2" w:rsidR="00D83BBC" w:rsidRPr="004F47D1" w:rsidRDefault="00D83BBC" w:rsidP="00D83BBC">
            <w:pPr>
              <w:rPr>
                <w:i/>
                <w:color w:val="767171" w:themeColor="background2" w:themeShade="80"/>
              </w:rPr>
            </w:pPr>
            <w:r w:rsidRPr="004F47D1">
              <w:rPr>
                <w:i/>
                <w:color w:val="767171" w:themeColor="background2" w:themeShade="80"/>
              </w:rPr>
              <w:t>Up to 22 days for LTR with re-auth. as clinically appropriate (up to 90 days maximum). Can be reviewed sooner if UM desires.</w:t>
            </w:r>
          </w:p>
        </w:tc>
        <w:tc>
          <w:tcPr>
            <w:tcW w:w="2230" w:type="dxa"/>
          </w:tcPr>
          <w:p w14:paraId="5982B019" w14:textId="598007A6" w:rsidR="00D83BBC" w:rsidRPr="004F47D1" w:rsidRDefault="00D83BBC" w:rsidP="00D83BBC">
            <w:pPr>
              <w:rPr>
                <w:i/>
                <w:color w:val="767171" w:themeColor="background2" w:themeShade="80"/>
              </w:rPr>
            </w:pPr>
            <w:r w:rsidRPr="004F47D1">
              <w:rPr>
                <w:i/>
                <w:color w:val="767171" w:themeColor="background2" w:themeShade="80"/>
              </w:rPr>
              <w:t xml:space="preserve">22 days for LTR with </w:t>
            </w:r>
            <w:r w:rsidR="00282C0E">
              <w:rPr>
                <w:i/>
                <w:color w:val="767171" w:themeColor="background2" w:themeShade="80"/>
              </w:rPr>
              <w:t>re-authorization</w:t>
            </w:r>
            <w:r w:rsidRPr="004F47D1">
              <w:rPr>
                <w:i/>
                <w:color w:val="767171" w:themeColor="background2" w:themeShade="80"/>
              </w:rPr>
              <w:t xml:space="preserve"> as clinically appropriate (up to 90 days maximum)</w:t>
            </w:r>
          </w:p>
        </w:tc>
        <w:tc>
          <w:tcPr>
            <w:tcW w:w="2103" w:type="dxa"/>
          </w:tcPr>
          <w:p w14:paraId="05AA845B" w14:textId="23BE6601" w:rsidR="00D83BBC" w:rsidRPr="004F47D1" w:rsidRDefault="00D83BBC" w:rsidP="00D83BBC">
            <w:pPr>
              <w:rPr>
                <w:i/>
                <w:color w:val="767171" w:themeColor="background2" w:themeShade="80"/>
              </w:rPr>
            </w:pPr>
            <w:r w:rsidRPr="004F47D1">
              <w:rPr>
                <w:i/>
                <w:color w:val="767171" w:themeColor="background2" w:themeShade="80"/>
              </w:rPr>
              <w:t xml:space="preserve">22 days for LTR with </w:t>
            </w:r>
            <w:r w:rsidR="00282C0E">
              <w:rPr>
                <w:i/>
                <w:color w:val="767171" w:themeColor="background2" w:themeShade="80"/>
              </w:rPr>
              <w:t>re-authorization</w:t>
            </w:r>
            <w:r w:rsidRPr="004F47D1">
              <w:rPr>
                <w:i/>
                <w:color w:val="767171" w:themeColor="background2" w:themeShade="80"/>
              </w:rPr>
              <w:t xml:space="preserve"> as clinically appropriate (up to 90 days maximum)</w:t>
            </w:r>
          </w:p>
        </w:tc>
        <w:tc>
          <w:tcPr>
            <w:tcW w:w="2279" w:type="dxa"/>
            <w:shd w:val="clear" w:color="auto" w:fill="C5E0B3" w:themeFill="accent6" w:themeFillTint="66"/>
          </w:tcPr>
          <w:p w14:paraId="014A8C32" w14:textId="18465F2B" w:rsidR="00AC015E" w:rsidRDefault="00D83BBC" w:rsidP="00D83BBC">
            <w:pPr>
              <w:rPr>
                <w:b/>
              </w:rPr>
            </w:pPr>
            <w:r w:rsidRPr="00592A71">
              <w:rPr>
                <w:b/>
              </w:rPr>
              <w:t xml:space="preserve">Up to </w:t>
            </w:r>
            <w:r w:rsidR="005849A5">
              <w:rPr>
                <w:b/>
              </w:rPr>
              <w:t>30</w:t>
            </w:r>
            <w:r w:rsidRPr="00592A71">
              <w:rPr>
                <w:b/>
              </w:rPr>
              <w:t xml:space="preserve"> days for LTR with re-auth</w:t>
            </w:r>
            <w:r w:rsidR="0086301B">
              <w:rPr>
                <w:b/>
              </w:rPr>
              <w:t>orization</w:t>
            </w:r>
            <w:r w:rsidRPr="00592A71">
              <w:rPr>
                <w:b/>
              </w:rPr>
              <w:t xml:space="preserve"> as clinically appropriate (up to 90 days maximum). </w:t>
            </w:r>
          </w:p>
          <w:p w14:paraId="3B4F48D6" w14:textId="77777777" w:rsidR="00D83BBC" w:rsidRDefault="00D83BBC" w:rsidP="00D83BBC">
            <w:pPr>
              <w:rPr>
                <w:b/>
              </w:rPr>
            </w:pPr>
            <w:r w:rsidRPr="00592A71">
              <w:rPr>
                <w:b/>
              </w:rPr>
              <w:t xml:space="preserve">Can be reviewed sooner if UM desires. </w:t>
            </w:r>
          </w:p>
          <w:p w14:paraId="258B387E" w14:textId="77777777" w:rsidR="00C86ED7" w:rsidRDefault="00C86ED7" w:rsidP="00D83BBC">
            <w:pPr>
              <w:rPr>
                <w:b/>
              </w:rPr>
            </w:pPr>
          </w:p>
          <w:p w14:paraId="79A43F4B" w14:textId="20625329" w:rsidR="004E234E" w:rsidRPr="00592A71" w:rsidRDefault="004E234E" w:rsidP="00D83BBC">
            <w:pPr>
              <w:rPr>
                <w:b/>
              </w:rPr>
            </w:pPr>
          </w:p>
        </w:tc>
      </w:tr>
      <w:tr w:rsidR="00D83BBC" w14:paraId="7B9CCEB6" w14:textId="470163B8" w:rsidTr="00FD7D6F">
        <w:trPr>
          <w:cantSplit/>
        </w:trPr>
        <w:tc>
          <w:tcPr>
            <w:tcW w:w="1881" w:type="dxa"/>
            <w:shd w:val="clear" w:color="auto" w:fill="D9D9D9" w:themeFill="background1" w:themeFillShade="D9"/>
            <w:vAlign w:val="center"/>
          </w:tcPr>
          <w:p w14:paraId="4ECF2BD7" w14:textId="2271C29E" w:rsidR="00D83BBC" w:rsidRDefault="00D83BBC" w:rsidP="00D83BBC">
            <w:pPr>
              <w:jc w:val="center"/>
            </w:pPr>
            <w:r>
              <w:t>Intensive Stabilization/Short Term Residential</w:t>
            </w:r>
          </w:p>
        </w:tc>
        <w:tc>
          <w:tcPr>
            <w:tcW w:w="1726" w:type="dxa"/>
          </w:tcPr>
          <w:p w14:paraId="6D15F99D" w14:textId="592F13E3" w:rsidR="00D83BBC" w:rsidRPr="004F47D1" w:rsidRDefault="005846B9" w:rsidP="00D83BBC">
            <w:pPr>
              <w:rPr>
                <w:i/>
                <w:color w:val="767171" w:themeColor="background2" w:themeShade="80"/>
              </w:rPr>
            </w:pPr>
            <w:r w:rsidRPr="004F47D1">
              <w:rPr>
                <w:i/>
                <w:color w:val="767171" w:themeColor="background2" w:themeShade="80"/>
              </w:rPr>
              <w:t>Initial authorization of 7 days, with a reauthorization of 3 to 4 days based on progress/needs, not exceeding a total of 14 days.</w:t>
            </w:r>
          </w:p>
        </w:tc>
        <w:tc>
          <w:tcPr>
            <w:tcW w:w="2131" w:type="dxa"/>
          </w:tcPr>
          <w:p w14:paraId="7CD1B9DC" w14:textId="22DC7339" w:rsidR="00D83BBC" w:rsidRPr="004F47D1" w:rsidRDefault="00D83BBC" w:rsidP="00D83BBC">
            <w:pPr>
              <w:rPr>
                <w:i/>
                <w:color w:val="767171" w:themeColor="background2" w:themeShade="80"/>
              </w:rPr>
            </w:pPr>
            <w:r w:rsidRPr="004F47D1">
              <w:rPr>
                <w:i/>
                <w:color w:val="767171" w:themeColor="background2" w:themeShade="80"/>
              </w:rPr>
              <w:t>Initial authorization of 7 days, with a reauthorization of 3 to 4 days based on progress/needs, not exceeding a total of 14 days.</w:t>
            </w:r>
          </w:p>
        </w:tc>
        <w:tc>
          <w:tcPr>
            <w:tcW w:w="2040" w:type="dxa"/>
            <w:tcBorders>
              <w:top w:val="single" w:sz="4" w:space="0" w:color="auto"/>
              <w:left w:val="single" w:sz="4" w:space="0" w:color="auto"/>
              <w:bottom w:val="single" w:sz="4" w:space="0" w:color="auto"/>
              <w:right w:val="single" w:sz="4" w:space="0" w:color="auto"/>
            </w:tcBorders>
          </w:tcPr>
          <w:p w14:paraId="696A6DBC" w14:textId="17F108EF" w:rsidR="00D83BBC" w:rsidRPr="004F47D1" w:rsidRDefault="00D83BBC" w:rsidP="00D83BBC">
            <w:pPr>
              <w:rPr>
                <w:i/>
                <w:color w:val="767171" w:themeColor="background2" w:themeShade="80"/>
              </w:rPr>
            </w:pPr>
            <w:r w:rsidRPr="004F47D1">
              <w:rPr>
                <w:i/>
                <w:color w:val="767171" w:themeColor="background2" w:themeShade="80"/>
              </w:rPr>
              <w:t xml:space="preserve">7 days short-term residential; will approve </w:t>
            </w:r>
            <w:r w:rsidR="00A379E8">
              <w:rPr>
                <w:i/>
                <w:color w:val="767171" w:themeColor="background2" w:themeShade="80"/>
              </w:rPr>
              <w:t>additional</w:t>
            </w:r>
            <w:r w:rsidRPr="004F47D1">
              <w:rPr>
                <w:i/>
                <w:color w:val="767171" w:themeColor="background2" w:themeShade="80"/>
              </w:rPr>
              <w:t xml:space="preserve"> days if clinically appropriate.</w:t>
            </w:r>
          </w:p>
          <w:p w14:paraId="27645DF3" w14:textId="77777777" w:rsidR="00D83BBC" w:rsidRPr="004F47D1" w:rsidRDefault="00D83BBC" w:rsidP="00D83BBC">
            <w:pPr>
              <w:rPr>
                <w:i/>
                <w:color w:val="767171" w:themeColor="background2" w:themeShade="80"/>
              </w:rPr>
            </w:pPr>
          </w:p>
        </w:tc>
        <w:tc>
          <w:tcPr>
            <w:tcW w:w="2230" w:type="dxa"/>
          </w:tcPr>
          <w:p w14:paraId="69E5A4AA" w14:textId="7662C2C7" w:rsidR="00D83BBC" w:rsidRPr="004F47D1" w:rsidRDefault="00D83BBC" w:rsidP="00D83BBC">
            <w:pPr>
              <w:rPr>
                <w:i/>
                <w:color w:val="767171" w:themeColor="background2" w:themeShade="80"/>
              </w:rPr>
            </w:pPr>
            <w:r w:rsidRPr="004F47D1">
              <w:rPr>
                <w:i/>
                <w:color w:val="767171" w:themeColor="background2" w:themeShade="80"/>
              </w:rPr>
              <w:t xml:space="preserve">7 days short-term residential; will approve </w:t>
            </w:r>
            <w:r w:rsidR="00A379E8">
              <w:rPr>
                <w:i/>
                <w:color w:val="767171" w:themeColor="background2" w:themeShade="80"/>
              </w:rPr>
              <w:t>additional</w:t>
            </w:r>
            <w:r w:rsidRPr="004F47D1">
              <w:rPr>
                <w:i/>
                <w:color w:val="767171" w:themeColor="background2" w:themeShade="80"/>
              </w:rPr>
              <w:t xml:space="preserve"> days if clinically appropriate.</w:t>
            </w:r>
          </w:p>
          <w:p w14:paraId="3001A912" w14:textId="77777777" w:rsidR="00D83BBC" w:rsidRPr="004F47D1" w:rsidRDefault="00D83BBC" w:rsidP="00D83BBC">
            <w:pPr>
              <w:rPr>
                <w:i/>
                <w:color w:val="767171" w:themeColor="background2" w:themeShade="80"/>
              </w:rPr>
            </w:pPr>
          </w:p>
        </w:tc>
        <w:tc>
          <w:tcPr>
            <w:tcW w:w="2103" w:type="dxa"/>
          </w:tcPr>
          <w:p w14:paraId="2D9388F1" w14:textId="2DD994C3" w:rsidR="00D83BBC" w:rsidRPr="004F47D1" w:rsidRDefault="00D83BBC" w:rsidP="00D83BBC">
            <w:pPr>
              <w:rPr>
                <w:i/>
                <w:color w:val="767171" w:themeColor="background2" w:themeShade="80"/>
              </w:rPr>
            </w:pPr>
            <w:r w:rsidRPr="004F47D1">
              <w:rPr>
                <w:i/>
                <w:color w:val="767171" w:themeColor="background2" w:themeShade="80"/>
              </w:rPr>
              <w:t xml:space="preserve">7 days short-term residential; will approve </w:t>
            </w:r>
            <w:r w:rsidR="00A379E8">
              <w:rPr>
                <w:i/>
                <w:color w:val="767171" w:themeColor="background2" w:themeShade="80"/>
              </w:rPr>
              <w:t>additional</w:t>
            </w:r>
            <w:r w:rsidRPr="004F47D1">
              <w:rPr>
                <w:i/>
                <w:color w:val="767171" w:themeColor="background2" w:themeShade="80"/>
              </w:rPr>
              <w:t xml:space="preserve"> days if clinically appropriate.  Max of 14 days. </w:t>
            </w:r>
          </w:p>
          <w:p w14:paraId="3F1219A1" w14:textId="77777777" w:rsidR="00D83BBC" w:rsidRPr="004F47D1" w:rsidRDefault="00D83BBC" w:rsidP="00D83BBC">
            <w:pPr>
              <w:rPr>
                <w:i/>
                <w:color w:val="767171" w:themeColor="background2" w:themeShade="80"/>
              </w:rPr>
            </w:pPr>
          </w:p>
        </w:tc>
        <w:tc>
          <w:tcPr>
            <w:tcW w:w="2279" w:type="dxa"/>
            <w:shd w:val="clear" w:color="auto" w:fill="C5E0B3" w:themeFill="accent6" w:themeFillTint="66"/>
          </w:tcPr>
          <w:p w14:paraId="59E1022C" w14:textId="338B36FD" w:rsidR="00D83BBC" w:rsidRDefault="00D83BBC" w:rsidP="00D83BBC">
            <w:pPr>
              <w:rPr>
                <w:b/>
              </w:rPr>
            </w:pPr>
            <w:r w:rsidRPr="00592A71">
              <w:rPr>
                <w:b/>
              </w:rPr>
              <w:t xml:space="preserve">Initial authorization of 7 days, with a reauthorization based on progress/needs, not exceeding a total of </w:t>
            </w:r>
            <w:proofErr w:type="gramStart"/>
            <w:r w:rsidR="005849A5">
              <w:rPr>
                <w:b/>
              </w:rPr>
              <w:t xml:space="preserve">30 </w:t>
            </w:r>
            <w:r w:rsidRPr="00592A71">
              <w:rPr>
                <w:b/>
              </w:rPr>
              <w:t xml:space="preserve"> days</w:t>
            </w:r>
            <w:proofErr w:type="gramEnd"/>
            <w:r w:rsidRPr="00592A71">
              <w:rPr>
                <w:b/>
              </w:rPr>
              <w:t>.</w:t>
            </w:r>
          </w:p>
          <w:p w14:paraId="46431BA0" w14:textId="77777777" w:rsidR="00C86ED7" w:rsidRDefault="00C86ED7" w:rsidP="00D83BBC">
            <w:pPr>
              <w:rPr>
                <w:b/>
              </w:rPr>
            </w:pPr>
          </w:p>
          <w:p w14:paraId="603F269E" w14:textId="77777777" w:rsidR="00C86ED7" w:rsidRDefault="00C86ED7" w:rsidP="00D83BBC">
            <w:pPr>
              <w:rPr>
                <w:b/>
              </w:rPr>
            </w:pPr>
          </w:p>
          <w:p w14:paraId="346E0404" w14:textId="63E416B3" w:rsidR="00C86ED7" w:rsidRPr="00592A71" w:rsidRDefault="00C86ED7" w:rsidP="00D83BBC">
            <w:pPr>
              <w:rPr>
                <w:b/>
              </w:rPr>
            </w:pPr>
          </w:p>
        </w:tc>
      </w:tr>
      <w:tr w:rsidR="00D83BBC" w14:paraId="7CFEE2FF" w14:textId="559E5892" w:rsidTr="00FD7D6F">
        <w:trPr>
          <w:cantSplit/>
        </w:trPr>
        <w:tc>
          <w:tcPr>
            <w:tcW w:w="1881" w:type="dxa"/>
            <w:shd w:val="clear" w:color="auto" w:fill="D9D9D9" w:themeFill="background1" w:themeFillShade="D9"/>
            <w:vAlign w:val="center"/>
          </w:tcPr>
          <w:p w14:paraId="49B32456" w14:textId="77777777" w:rsidR="00D83BBC" w:rsidRDefault="00D83BBC" w:rsidP="00D83BBC">
            <w:pPr>
              <w:jc w:val="center"/>
            </w:pPr>
            <w:r>
              <w:t>Recovery Management</w:t>
            </w:r>
          </w:p>
        </w:tc>
        <w:tc>
          <w:tcPr>
            <w:tcW w:w="1726" w:type="dxa"/>
          </w:tcPr>
          <w:p w14:paraId="14D898EF" w14:textId="013B3CED" w:rsidR="00D83BBC" w:rsidRPr="004F47D1" w:rsidRDefault="005846B9" w:rsidP="00D83BBC">
            <w:pPr>
              <w:rPr>
                <w:i/>
                <w:color w:val="767171" w:themeColor="background2" w:themeShade="80"/>
              </w:rPr>
            </w:pPr>
            <w:r w:rsidRPr="004F47D1">
              <w:rPr>
                <w:i/>
                <w:color w:val="767171" w:themeColor="background2" w:themeShade="80"/>
              </w:rPr>
              <w:t>Minimum 2 – 4 times/week</w:t>
            </w:r>
          </w:p>
        </w:tc>
        <w:tc>
          <w:tcPr>
            <w:tcW w:w="2131" w:type="dxa"/>
          </w:tcPr>
          <w:p w14:paraId="7885D9C5" w14:textId="44FABDFA" w:rsidR="00D83BBC" w:rsidRPr="004F47D1" w:rsidRDefault="00D83BBC" w:rsidP="00D83BBC">
            <w:pPr>
              <w:rPr>
                <w:i/>
                <w:color w:val="767171" w:themeColor="background2" w:themeShade="80"/>
              </w:rPr>
            </w:pPr>
            <w:r w:rsidRPr="004F47D1">
              <w:rPr>
                <w:i/>
                <w:color w:val="767171" w:themeColor="background2" w:themeShade="80"/>
              </w:rPr>
              <w:t>Minimum 2 – 4 times/week</w:t>
            </w:r>
          </w:p>
        </w:tc>
        <w:tc>
          <w:tcPr>
            <w:tcW w:w="2040" w:type="dxa"/>
            <w:tcBorders>
              <w:top w:val="single" w:sz="4" w:space="0" w:color="auto"/>
              <w:left w:val="single" w:sz="4" w:space="0" w:color="auto"/>
              <w:bottom w:val="single" w:sz="4" w:space="0" w:color="auto"/>
              <w:right w:val="single" w:sz="4" w:space="0" w:color="auto"/>
            </w:tcBorders>
          </w:tcPr>
          <w:p w14:paraId="4200554D" w14:textId="3300AB80" w:rsidR="00D83BBC" w:rsidRPr="004F47D1" w:rsidRDefault="00D83BBC" w:rsidP="00D83BBC">
            <w:pPr>
              <w:rPr>
                <w:i/>
                <w:color w:val="767171" w:themeColor="background2" w:themeShade="80"/>
              </w:rPr>
            </w:pPr>
            <w:r w:rsidRPr="004F47D1">
              <w:rPr>
                <w:i/>
                <w:color w:val="767171" w:themeColor="background2" w:themeShade="80"/>
              </w:rPr>
              <w:t>Minimum 2 – 4 times/week</w:t>
            </w:r>
          </w:p>
        </w:tc>
        <w:tc>
          <w:tcPr>
            <w:tcW w:w="2230" w:type="dxa"/>
          </w:tcPr>
          <w:p w14:paraId="21D532D5" w14:textId="76EFF3D6" w:rsidR="00D83BBC" w:rsidRPr="004F47D1" w:rsidRDefault="00D83BBC" w:rsidP="00D83BBC">
            <w:pPr>
              <w:rPr>
                <w:i/>
                <w:color w:val="767171" w:themeColor="background2" w:themeShade="80"/>
              </w:rPr>
            </w:pPr>
            <w:r w:rsidRPr="004F47D1">
              <w:rPr>
                <w:i/>
                <w:color w:val="767171" w:themeColor="background2" w:themeShade="80"/>
              </w:rPr>
              <w:t>No limit on units-6mon to 1</w:t>
            </w:r>
            <w:r w:rsidR="00006251">
              <w:rPr>
                <w:i/>
                <w:color w:val="767171" w:themeColor="background2" w:themeShade="80"/>
              </w:rPr>
              <w:t>-</w:t>
            </w:r>
            <w:r w:rsidRPr="004F47D1">
              <w:rPr>
                <w:i/>
                <w:color w:val="767171" w:themeColor="background2" w:themeShade="80"/>
              </w:rPr>
              <w:t>year auth 1/12 payments</w:t>
            </w:r>
          </w:p>
        </w:tc>
        <w:tc>
          <w:tcPr>
            <w:tcW w:w="2103" w:type="dxa"/>
          </w:tcPr>
          <w:p w14:paraId="0B0BD047" w14:textId="0FF95A00" w:rsidR="00D83BBC" w:rsidRPr="004F47D1" w:rsidRDefault="00D83BBC" w:rsidP="00D83BBC">
            <w:pPr>
              <w:rPr>
                <w:i/>
                <w:color w:val="767171" w:themeColor="background2" w:themeShade="80"/>
              </w:rPr>
            </w:pPr>
            <w:r w:rsidRPr="004F47D1">
              <w:rPr>
                <w:i/>
                <w:color w:val="767171" w:themeColor="background2" w:themeShade="80"/>
              </w:rPr>
              <w:t>Not yet implemented</w:t>
            </w:r>
          </w:p>
        </w:tc>
        <w:tc>
          <w:tcPr>
            <w:tcW w:w="2279" w:type="dxa"/>
            <w:shd w:val="clear" w:color="auto" w:fill="C5E0B3" w:themeFill="accent6" w:themeFillTint="66"/>
          </w:tcPr>
          <w:p w14:paraId="25E1C553" w14:textId="432C84FE" w:rsidR="00D83BBC" w:rsidRDefault="00D83BBC" w:rsidP="00D83BBC">
            <w:pPr>
              <w:rPr>
                <w:b/>
              </w:rPr>
            </w:pPr>
            <w:r w:rsidRPr="00592A71">
              <w:rPr>
                <w:b/>
              </w:rPr>
              <w:t>Minimum</w:t>
            </w:r>
            <w:r w:rsidR="000F4641">
              <w:rPr>
                <w:b/>
              </w:rPr>
              <w:t xml:space="preserve"> of </w:t>
            </w:r>
            <w:proofErr w:type="gramStart"/>
            <w:r w:rsidR="000F4641">
              <w:rPr>
                <w:b/>
              </w:rPr>
              <w:t>30 day</w:t>
            </w:r>
            <w:proofErr w:type="gramEnd"/>
            <w:r w:rsidR="000F4641">
              <w:rPr>
                <w:b/>
              </w:rPr>
              <w:t xml:space="preserve"> initial auth. ASAM needs to indicate a higher LOC need than traditional outpatient, or client can be eligible with multiple failed episodes of care and evidence of chronic disease. Client should </w:t>
            </w:r>
            <w:proofErr w:type="gramStart"/>
            <w:r w:rsidR="000F4641">
              <w:rPr>
                <w:b/>
              </w:rPr>
              <w:t>be see</w:t>
            </w:r>
            <w:proofErr w:type="gramEnd"/>
            <w:r w:rsidRPr="00592A71">
              <w:rPr>
                <w:b/>
              </w:rPr>
              <w:t xml:space="preserve"> 2 – 4 times/week </w:t>
            </w:r>
            <w:r w:rsidR="000F4641">
              <w:rPr>
                <w:b/>
              </w:rPr>
              <w:t xml:space="preserve">until stabilized. </w:t>
            </w:r>
          </w:p>
          <w:p w14:paraId="2E56B56D" w14:textId="77777777" w:rsidR="007814CC" w:rsidRDefault="007814CC" w:rsidP="00D83BBC">
            <w:pPr>
              <w:rPr>
                <w:b/>
              </w:rPr>
            </w:pPr>
          </w:p>
          <w:p w14:paraId="5F41DE6D" w14:textId="4F6661E2" w:rsidR="004E234E" w:rsidRPr="00592A71" w:rsidRDefault="004E234E" w:rsidP="00D83BBC">
            <w:pPr>
              <w:rPr>
                <w:b/>
              </w:rPr>
            </w:pPr>
            <w:r>
              <w:rPr>
                <w:b/>
              </w:rPr>
              <w:t>.</w:t>
            </w:r>
          </w:p>
        </w:tc>
      </w:tr>
      <w:tr w:rsidR="00D83BBC" w14:paraId="4130C5A8" w14:textId="77A95703" w:rsidTr="00FD7D6F">
        <w:trPr>
          <w:cantSplit/>
        </w:trPr>
        <w:tc>
          <w:tcPr>
            <w:tcW w:w="1881" w:type="dxa"/>
            <w:shd w:val="clear" w:color="auto" w:fill="D9D9D9" w:themeFill="background1" w:themeFillShade="D9"/>
            <w:vAlign w:val="center"/>
          </w:tcPr>
          <w:p w14:paraId="595743F3" w14:textId="77777777" w:rsidR="00D83BBC" w:rsidRDefault="00D83BBC" w:rsidP="00D83BBC">
            <w:pPr>
              <w:jc w:val="center"/>
            </w:pPr>
            <w:r>
              <w:lastRenderedPageBreak/>
              <w:t>Family Engagement</w:t>
            </w:r>
          </w:p>
        </w:tc>
        <w:tc>
          <w:tcPr>
            <w:tcW w:w="1726" w:type="dxa"/>
          </w:tcPr>
          <w:p w14:paraId="5E124D16" w14:textId="482737F1" w:rsidR="00D83BBC" w:rsidRPr="004F47D1" w:rsidRDefault="005846B9" w:rsidP="00D83BBC">
            <w:pPr>
              <w:rPr>
                <w:i/>
                <w:color w:val="767171" w:themeColor="background2" w:themeShade="80"/>
              </w:rPr>
            </w:pPr>
            <w:r w:rsidRPr="004F47D1">
              <w:rPr>
                <w:i/>
                <w:color w:val="767171" w:themeColor="background2" w:themeShade="80"/>
              </w:rPr>
              <w:t>6</w:t>
            </w:r>
            <w:r w:rsidR="00006251">
              <w:rPr>
                <w:i/>
                <w:color w:val="767171" w:themeColor="background2" w:themeShade="80"/>
              </w:rPr>
              <w:t>-</w:t>
            </w:r>
            <w:r w:rsidRPr="004F47D1">
              <w:rPr>
                <w:i/>
                <w:color w:val="767171" w:themeColor="background2" w:themeShade="80"/>
              </w:rPr>
              <w:t>month authorization. 26 hours of therapy, case management, and peer services. ASAM needs to indicate higher need than outpatient LOC. Services can be concurrent to other treatment services with no duplication</w:t>
            </w:r>
          </w:p>
        </w:tc>
        <w:tc>
          <w:tcPr>
            <w:tcW w:w="2131" w:type="dxa"/>
          </w:tcPr>
          <w:p w14:paraId="03D6B01A" w14:textId="7E004EF8" w:rsidR="00D83BBC" w:rsidRPr="004F47D1" w:rsidRDefault="00D83BBC" w:rsidP="00D83BBC">
            <w:pPr>
              <w:rPr>
                <w:i/>
                <w:color w:val="767171" w:themeColor="background2" w:themeShade="80"/>
              </w:rPr>
            </w:pPr>
            <w:r w:rsidRPr="004F47D1">
              <w:rPr>
                <w:i/>
                <w:color w:val="767171" w:themeColor="background2" w:themeShade="80"/>
              </w:rPr>
              <w:t>6</w:t>
            </w:r>
            <w:r w:rsidR="00006251">
              <w:rPr>
                <w:i/>
                <w:color w:val="767171" w:themeColor="background2" w:themeShade="80"/>
              </w:rPr>
              <w:t>-</w:t>
            </w:r>
            <w:r w:rsidRPr="004F47D1">
              <w:rPr>
                <w:i/>
                <w:color w:val="767171" w:themeColor="background2" w:themeShade="80"/>
              </w:rPr>
              <w:t>month authorization. 26 hours of therapy, case management, and peer services. ASAM needs to indicate higher need than outpatient LOC. Services can be concurrent to other treatment services with no duplication</w:t>
            </w:r>
          </w:p>
        </w:tc>
        <w:tc>
          <w:tcPr>
            <w:tcW w:w="2040" w:type="dxa"/>
            <w:tcBorders>
              <w:top w:val="single" w:sz="4" w:space="0" w:color="auto"/>
              <w:left w:val="single" w:sz="4" w:space="0" w:color="auto"/>
              <w:bottom w:val="single" w:sz="4" w:space="0" w:color="auto"/>
              <w:right w:val="single" w:sz="4" w:space="0" w:color="auto"/>
            </w:tcBorders>
          </w:tcPr>
          <w:p w14:paraId="5E2E7B5C" w14:textId="3BC01E0C" w:rsidR="00D83BBC" w:rsidRPr="004F47D1" w:rsidRDefault="00D83BBC" w:rsidP="00D83BBC">
            <w:pPr>
              <w:rPr>
                <w:i/>
                <w:color w:val="767171" w:themeColor="background2" w:themeShade="80"/>
              </w:rPr>
            </w:pPr>
            <w:r w:rsidRPr="004F47D1">
              <w:rPr>
                <w:i/>
                <w:color w:val="767171" w:themeColor="background2" w:themeShade="80"/>
              </w:rPr>
              <w:t>N/A</w:t>
            </w:r>
          </w:p>
        </w:tc>
        <w:tc>
          <w:tcPr>
            <w:tcW w:w="2230" w:type="dxa"/>
          </w:tcPr>
          <w:p w14:paraId="383F4ED1" w14:textId="361FA7AC" w:rsidR="00D83BBC" w:rsidRPr="004F47D1" w:rsidRDefault="00D83BBC" w:rsidP="00D83BBC">
            <w:pPr>
              <w:rPr>
                <w:i/>
                <w:color w:val="767171" w:themeColor="background2" w:themeShade="80"/>
              </w:rPr>
            </w:pPr>
            <w:r w:rsidRPr="004F47D1">
              <w:rPr>
                <w:i/>
                <w:color w:val="767171" w:themeColor="background2" w:themeShade="80"/>
              </w:rPr>
              <w:t>Same as above</w:t>
            </w:r>
          </w:p>
        </w:tc>
        <w:tc>
          <w:tcPr>
            <w:tcW w:w="2103" w:type="dxa"/>
          </w:tcPr>
          <w:p w14:paraId="6FBF6BF5" w14:textId="274B01A3" w:rsidR="00D83BBC" w:rsidRPr="004F47D1" w:rsidRDefault="00D83BBC" w:rsidP="00D83BBC">
            <w:pPr>
              <w:rPr>
                <w:i/>
                <w:color w:val="767171" w:themeColor="background2" w:themeShade="80"/>
              </w:rPr>
            </w:pPr>
            <w:r w:rsidRPr="004F47D1">
              <w:rPr>
                <w:i/>
                <w:color w:val="767171" w:themeColor="background2" w:themeShade="80"/>
              </w:rPr>
              <w:t>6</w:t>
            </w:r>
            <w:r w:rsidR="00006251">
              <w:rPr>
                <w:i/>
                <w:color w:val="767171" w:themeColor="background2" w:themeShade="80"/>
              </w:rPr>
              <w:t>-</w:t>
            </w:r>
            <w:r w:rsidRPr="004F47D1">
              <w:rPr>
                <w:i/>
                <w:color w:val="767171" w:themeColor="background2" w:themeShade="80"/>
              </w:rPr>
              <w:t xml:space="preserve">month authorization. 26 hours of therapy, case management, and peer services. ASAM needs to indicate higher need than outpatient LOC. Services can be concurrent to other treatment services with no duplication. </w:t>
            </w:r>
          </w:p>
        </w:tc>
        <w:tc>
          <w:tcPr>
            <w:tcW w:w="2279" w:type="dxa"/>
            <w:shd w:val="clear" w:color="auto" w:fill="C5E0B3" w:themeFill="accent6" w:themeFillTint="66"/>
          </w:tcPr>
          <w:p w14:paraId="6BAF399E" w14:textId="77777777" w:rsidR="00AC015E" w:rsidRDefault="00AC015E" w:rsidP="00D83BBC">
            <w:pPr>
              <w:rPr>
                <w:b/>
              </w:rPr>
            </w:pPr>
            <w:r w:rsidRPr="00592A71">
              <w:rPr>
                <w:b/>
              </w:rPr>
              <w:t>6-month</w:t>
            </w:r>
            <w:r w:rsidR="00D83BBC" w:rsidRPr="00592A71">
              <w:rPr>
                <w:b/>
              </w:rPr>
              <w:t xml:space="preserve"> authorization. </w:t>
            </w:r>
          </w:p>
          <w:p w14:paraId="1D9D9383" w14:textId="07C7D966" w:rsidR="00D83BBC" w:rsidRPr="00592A71" w:rsidRDefault="000F4641" w:rsidP="00D83BBC">
            <w:pPr>
              <w:rPr>
                <w:b/>
              </w:rPr>
            </w:pPr>
            <w:r>
              <w:rPr>
                <w:b/>
              </w:rPr>
              <w:t xml:space="preserve">Goal of </w:t>
            </w:r>
            <w:r w:rsidR="00D83BBC" w:rsidRPr="00592A71">
              <w:rPr>
                <w:b/>
              </w:rPr>
              <w:t xml:space="preserve">26 hours of therapy, case management, and peer services. </w:t>
            </w:r>
            <w:r w:rsidR="00D83BBC" w:rsidRPr="00FD7D6F">
              <w:rPr>
                <w:b/>
                <w:strike/>
              </w:rPr>
              <w:t>ASAM needs to indicate higher need than outpatient LOC.</w:t>
            </w:r>
            <w:r w:rsidR="00D83BBC" w:rsidRPr="00592A71">
              <w:rPr>
                <w:b/>
              </w:rPr>
              <w:t xml:space="preserve"> Services can be concurrent to other treatment services with no duplication</w:t>
            </w:r>
            <w:r>
              <w:rPr>
                <w:b/>
              </w:rPr>
              <w:t>.</w:t>
            </w:r>
            <w:r w:rsidR="00D83BBC" w:rsidRPr="00592A71">
              <w:rPr>
                <w:b/>
              </w:rPr>
              <w:t xml:space="preserve"> </w:t>
            </w:r>
          </w:p>
        </w:tc>
      </w:tr>
      <w:tr w:rsidR="00D83BBC" w14:paraId="064F4FF6" w14:textId="43A80328" w:rsidTr="00FD7D6F">
        <w:trPr>
          <w:cantSplit/>
        </w:trPr>
        <w:tc>
          <w:tcPr>
            <w:tcW w:w="1881" w:type="dxa"/>
            <w:shd w:val="clear" w:color="auto" w:fill="D9D9D9" w:themeFill="background1" w:themeFillShade="D9"/>
            <w:vAlign w:val="center"/>
          </w:tcPr>
          <w:p w14:paraId="071B994C" w14:textId="77777777" w:rsidR="00D83BBC" w:rsidRDefault="00D83BBC" w:rsidP="00D83BBC">
            <w:pPr>
              <w:jc w:val="center"/>
            </w:pPr>
            <w:r>
              <w:t>Women Case Management</w:t>
            </w:r>
          </w:p>
        </w:tc>
        <w:tc>
          <w:tcPr>
            <w:tcW w:w="1726" w:type="dxa"/>
          </w:tcPr>
          <w:p w14:paraId="34299A1D" w14:textId="57D35BA6" w:rsidR="00D83BBC" w:rsidRPr="004F47D1" w:rsidRDefault="005846B9" w:rsidP="00D83BBC">
            <w:pPr>
              <w:rPr>
                <w:i/>
                <w:color w:val="767171" w:themeColor="background2" w:themeShade="80"/>
              </w:rPr>
            </w:pPr>
            <w:r w:rsidRPr="004F47D1">
              <w:rPr>
                <w:i/>
                <w:color w:val="767171" w:themeColor="background2" w:themeShade="80"/>
              </w:rPr>
              <w:t>6 months to 1</w:t>
            </w:r>
            <w:r w:rsidR="00A379E8">
              <w:rPr>
                <w:i/>
                <w:color w:val="767171" w:themeColor="background2" w:themeShade="80"/>
              </w:rPr>
              <w:t>-</w:t>
            </w:r>
            <w:r w:rsidRPr="004F47D1">
              <w:rPr>
                <w:i/>
                <w:color w:val="767171" w:themeColor="background2" w:themeShade="80"/>
              </w:rPr>
              <w:t>year Auth</w:t>
            </w:r>
          </w:p>
        </w:tc>
        <w:tc>
          <w:tcPr>
            <w:tcW w:w="2131" w:type="dxa"/>
          </w:tcPr>
          <w:p w14:paraId="48D4B53A" w14:textId="2D8C4F1C" w:rsidR="00D83BBC" w:rsidRPr="004F47D1" w:rsidRDefault="00D83BBC" w:rsidP="00D83BBC">
            <w:pPr>
              <w:rPr>
                <w:i/>
                <w:color w:val="767171" w:themeColor="background2" w:themeShade="80"/>
              </w:rPr>
            </w:pPr>
            <w:r w:rsidRPr="004F47D1">
              <w:rPr>
                <w:i/>
                <w:color w:val="767171" w:themeColor="background2" w:themeShade="80"/>
              </w:rPr>
              <w:t>Year Auth</w:t>
            </w:r>
          </w:p>
        </w:tc>
        <w:tc>
          <w:tcPr>
            <w:tcW w:w="2040" w:type="dxa"/>
            <w:tcBorders>
              <w:top w:val="single" w:sz="4" w:space="0" w:color="auto"/>
              <w:left w:val="single" w:sz="4" w:space="0" w:color="auto"/>
              <w:bottom w:val="single" w:sz="4" w:space="0" w:color="auto"/>
              <w:right w:val="single" w:sz="4" w:space="0" w:color="auto"/>
            </w:tcBorders>
          </w:tcPr>
          <w:p w14:paraId="233949E3" w14:textId="544D9650" w:rsidR="00D83BBC" w:rsidRPr="004F47D1" w:rsidRDefault="00D83BBC" w:rsidP="00D83BBC">
            <w:pPr>
              <w:rPr>
                <w:i/>
                <w:color w:val="767171" w:themeColor="background2" w:themeShade="80"/>
              </w:rPr>
            </w:pPr>
            <w:r w:rsidRPr="004F47D1">
              <w:rPr>
                <w:i/>
                <w:color w:val="767171" w:themeColor="background2" w:themeShade="80"/>
              </w:rPr>
              <w:t>N/A</w:t>
            </w:r>
          </w:p>
        </w:tc>
        <w:tc>
          <w:tcPr>
            <w:tcW w:w="2230" w:type="dxa"/>
          </w:tcPr>
          <w:p w14:paraId="67D45ECE" w14:textId="65CC22CA" w:rsidR="00D83BBC" w:rsidRPr="004F47D1" w:rsidRDefault="00D83BBC" w:rsidP="00D83BBC">
            <w:pPr>
              <w:rPr>
                <w:i/>
                <w:color w:val="767171" w:themeColor="background2" w:themeShade="80"/>
              </w:rPr>
            </w:pPr>
            <w:r w:rsidRPr="004F47D1">
              <w:rPr>
                <w:i/>
                <w:color w:val="767171" w:themeColor="background2" w:themeShade="80"/>
              </w:rPr>
              <w:t>120 units for 6</w:t>
            </w:r>
            <w:r w:rsidR="00006251">
              <w:rPr>
                <w:i/>
                <w:color w:val="767171" w:themeColor="background2" w:themeShade="80"/>
              </w:rPr>
              <w:t>-</w:t>
            </w:r>
            <w:r w:rsidRPr="004F47D1">
              <w:rPr>
                <w:i/>
                <w:color w:val="767171" w:themeColor="background2" w:themeShade="80"/>
              </w:rPr>
              <w:t>month auth</w:t>
            </w:r>
          </w:p>
        </w:tc>
        <w:tc>
          <w:tcPr>
            <w:tcW w:w="2103" w:type="dxa"/>
          </w:tcPr>
          <w:p w14:paraId="594600C4" w14:textId="17DB7E44" w:rsidR="00D83BBC" w:rsidRPr="004F47D1" w:rsidRDefault="00D83BBC" w:rsidP="00D83BBC">
            <w:pPr>
              <w:rPr>
                <w:i/>
                <w:color w:val="767171" w:themeColor="background2" w:themeShade="80"/>
              </w:rPr>
            </w:pPr>
            <w:r w:rsidRPr="004F47D1">
              <w:rPr>
                <w:i/>
                <w:color w:val="767171" w:themeColor="background2" w:themeShade="80"/>
              </w:rPr>
              <w:t>N/A</w:t>
            </w:r>
          </w:p>
        </w:tc>
        <w:tc>
          <w:tcPr>
            <w:tcW w:w="2279" w:type="dxa"/>
            <w:shd w:val="clear" w:color="auto" w:fill="C5E0B3" w:themeFill="accent6" w:themeFillTint="66"/>
          </w:tcPr>
          <w:p w14:paraId="3F354F1C" w14:textId="77777777" w:rsidR="00D83BBC" w:rsidRDefault="00D83BBC" w:rsidP="00D83BBC">
            <w:pPr>
              <w:rPr>
                <w:b/>
              </w:rPr>
            </w:pPr>
            <w:r w:rsidRPr="00592A71">
              <w:rPr>
                <w:b/>
              </w:rPr>
              <w:t>6 months to 1</w:t>
            </w:r>
            <w:r w:rsidR="00006251">
              <w:rPr>
                <w:b/>
              </w:rPr>
              <w:t>-</w:t>
            </w:r>
            <w:r w:rsidRPr="00592A71">
              <w:rPr>
                <w:b/>
              </w:rPr>
              <w:t xml:space="preserve">year </w:t>
            </w:r>
            <w:r w:rsidR="00006251">
              <w:rPr>
                <w:b/>
              </w:rPr>
              <w:t>authorization</w:t>
            </w:r>
          </w:p>
          <w:p w14:paraId="174602FE" w14:textId="77777777" w:rsidR="007814CC" w:rsidRDefault="007814CC" w:rsidP="00D83BBC">
            <w:pPr>
              <w:rPr>
                <w:b/>
              </w:rPr>
            </w:pPr>
          </w:p>
          <w:p w14:paraId="6D9849AC" w14:textId="25C60AD2" w:rsidR="007814CC" w:rsidRPr="00592A71" w:rsidRDefault="007814CC" w:rsidP="00D83BBC">
            <w:pPr>
              <w:rPr>
                <w:b/>
              </w:rPr>
            </w:pPr>
          </w:p>
        </w:tc>
      </w:tr>
      <w:tr w:rsidR="00D83BBC" w14:paraId="16B75380" w14:textId="77777777" w:rsidTr="00FD7D6F">
        <w:trPr>
          <w:cantSplit/>
        </w:trPr>
        <w:tc>
          <w:tcPr>
            <w:tcW w:w="1881" w:type="dxa"/>
            <w:shd w:val="clear" w:color="auto" w:fill="D9D9D9" w:themeFill="background1" w:themeFillShade="D9"/>
            <w:vAlign w:val="center"/>
          </w:tcPr>
          <w:p w14:paraId="17D2CD16" w14:textId="77040258" w:rsidR="00D83BBC" w:rsidRDefault="00D83BBC" w:rsidP="00D83BBC">
            <w:pPr>
              <w:jc w:val="center"/>
            </w:pPr>
            <w:r>
              <w:t>Recovery Residence</w:t>
            </w:r>
          </w:p>
        </w:tc>
        <w:tc>
          <w:tcPr>
            <w:tcW w:w="1726" w:type="dxa"/>
          </w:tcPr>
          <w:p w14:paraId="2DD04744" w14:textId="6133712F" w:rsidR="00D83BBC" w:rsidRPr="004F47D1" w:rsidRDefault="00D51ACF" w:rsidP="00D83BBC">
            <w:pPr>
              <w:rPr>
                <w:i/>
                <w:color w:val="767171" w:themeColor="background2" w:themeShade="80"/>
              </w:rPr>
            </w:pPr>
            <w:r w:rsidRPr="004F47D1">
              <w:rPr>
                <w:i/>
                <w:color w:val="767171" w:themeColor="background2" w:themeShade="80"/>
              </w:rPr>
              <w:t xml:space="preserve">Authorizations are given for </w:t>
            </w:r>
            <w:proofErr w:type="gramStart"/>
            <w:r w:rsidRPr="004F47D1">
              <w:rPr>
                <w:i/>
                <w:color w:val="767171" w:themeColor="background2" w:themeShade="80"/>
              </w:rPr>
              <w:t>30 day</w:t>
            </w:r>
            <w:proofErr w:type="gramEnd"/>
            <w:r w:rsidRPr="004F47D1">
              <w:rPr>
                <w:i/>
                <w:color w:val="767171" w:themeColor="background2" w:themeShade="80"/>
              </w:rPr>
              <w:t xml:space="preserve"> increments for a maximum of 60 days.   Additional 30 days with justification.  </w:t>
            </w:r>
          </w:p>
        </w:tc>
        <w:tc>
          <w:tcPr>
            <w:tcW w:w="2131" w:type="dxa"/>
          </w:tcPr>
          <w:p w14:paraId="0D1274F3" w14:textId="5CD282A4" w:rsidR="00D83BBC" w:rsidRPr="004F47D1" w:rsidRDefault="00D83BBC" w:rsidP="00D83BBC">
            <w:pPr>
              <w:rPr>
                <w:i/>
                <w:color w:val="767171" w:themeColor="background2" w:themeShade="80"/>
              </w:rPr>
            </w:pPr>
            <w:r w:rsidRPr="004F47D1">
              <w:rPr>
                <w:i/>
                <w:color w:val="767171" w:themeColor="background2" w:themeShade="80"/>
              </w:rPr>
              <w:t xml:space="preserve">Initial authorization of 30 days.  Additional 30 days with justification.  </w:t>
            </w:r>
          </w:p>
        </w:tc>
        <w:tc>
          <w:tcPr>
            <w:tcW w:w="2040" w:type="dxa"/>
            <w:tcBorders>
              <w:top w:val="single" w:sz="4" w:space="0" w:color="auto"/>
              <w:left w:val="single" w:sz="4" w:space="0" w:color="auto"/>
              <w:bottom w:val="single" w:sz="4" w:space="0" w:color="auto"/>
              <w:right w:val="single" w:sz="4" w:space="0" w:color="auto"/>
            </w:tcBorders>
          </w:tcPr>
          <w:p w14:paraId="181D4B59" w14:textId="3F8C60BE" w:rsidR="00D83BBC" w:rsidRPr="004F47D1" w:rsidRDefault="00D83BBC" w:rsidP="00D83BBC">
            <w:pPr>
              <w:rPr>
                <w:i/>
                <w:color w:val="767171" w:themeColor="background2" w:themeShade="80"/>
              </w:rPr>
            </w:pPr>
            <w:r w:rsidRPr="004F47D1">
              <w:rPr>
                <w:i/>
                <w:color w:val="767171" w:themeColor="background2" w:themeShade="80"/>
              </w:rPr>
              <w:t xml:space="preserve">30 days initial auth with maximum of 60 days.  Additional need up to 90 days considered on a </w:t>
            </w:r>
            <w:proofErr w:type="gramStart"/>
            <w:r w:rsidRPr="004F47D1">
              <w:rPr>
                <w:i/>
                <w:color w:val="767171" w:themeColor="background2" w:themeShade="80"/>
              </w:rPr>
              <w:t>case by case</w:t>
            </w:r>
            <w:proofErr w:type="gramEnd"/>
            <w:r w:rsidRPr="004F47D1">
              <w:rPr>
                <w:i/>
                <w:color w:val="767171" w:themeColor="background2" w:themeShade="80"/>
              </w:rPr>
              <w:t xml:space="preserve"> basis as clinically warranted</w:t>
            </w:r>
          </w:p>
        </w:tc>
        <w:tc>
          <w:tcPr>
            <w:tcW w:w="2230" w:type="dxa"/>
          </w:tcPr>
          <w:p w14:paraId="36E04A3B" w14:textId="2A3FFE3D" w:rsidR="00D83BBC" w:rsidRPr="004F47D1" w:rsidRDefault="00D83BBC" w:rsidP="00D83BBC">
            <w:pPr>
              <w:rPr>
                <w:i/>
                <w:color w:val="767171" w:themeColor="background2" w:themeShade="80"/>
              </w:rPr>
            </w:pPr>
            <w:r w:rsidRPr="004F47D1">
              <w:rPr>
                <w:i/>
                <w:color w:val="767171" w:themeColor="background2" w:themeShade="80"/>
              </w:rPr>
              <w:t>One month at a time, will also cover food money until food stamps kick in. 3 months max with some exceptions now and then.</w:t>
            </w:r>
          </w:p>
        </w:tc>
        <w:tc>
          <w:tcPr>
            <w:tcW w:w="2103" w:type="dxa"/>
          </w:tcPr>
          <w:p w14:paraId="558C9C6A" w14:textId="5A87AA07" w:rsidR="00D83BBC" w:rsidRPr="004F47D1" w:rsidRDefault="00D83BBC" w:rsidP="00D83BBC">
            <w:pPr>
              <w:rPr>
                <w:i/>
                <w:color w:val="767171" w:themeColor="background2" w:themeShade="80"/>
              </w:rPr>
            </w:pPr>
            <w:r w:rsidRPr="004F47D1">
              <w:rPr>
                <w:i/>
                <w:color w:val="767171" w:themeColor="background2" w:themeShade="80"/>
              </w:rPr>
              <w:t xml:space="preserve">Initial authorization of 30 days.  Additional 30 days with justification.  Can authorize 1 hour weekly of Recovery Coach. </w:t>
            </w:r>
          </w:p>
        </w:tc>
        <w:tc>
          <w:tcPr>
            <w:tcW w:w="2279" w:type="dxa"/>
            <w:shd w:val="clear" w:color="auto" w:fill="C5E0B3" w:themeFill="accent6" w:themeFillTint="66"/>
          </w:tcPr>
          <w:p w14:paraId="0E596654" w14:textId="324B5AAE" w:rsidR="00D7281D" w:rsidRPr="00592A71" w:rsidRDefault="00D83BBC" w:rsidP="009C616B">
            <w:pPr>
              <w:rPr>
                <w:b/>
              </w:rPr>
            </w:pPr>
            <w:r w:rsidRPr="00592A71">
              <w:rPr>
                <w:b/>
              </w:rPr>
              <w:t xml:space="preserve">Authorizations are given for </w:t>
            </w:r>
            <w:proofErr w:type="gramStart"/>
            <w:r w:rsidRPr="00592A71">
              <w:rPr>
                <w:b/>
              </w:rPr>
              <w:t>30 day</w:t>
            </w:r>
            <w:proofErr w:type="gramEnd"/>
            <w:r w:rsidRPr="00592A71">
              <w:rPr>
                <w:b/>
              </w:rPr>
              <w:t xml:space="preserve"> increments for a maximum of </w:t>
            </w:r>
            <w:r w:rsidR="009C616B">
              <w:rPr>
                <w:b/>
              </w:rPr>
              <w:t>9</w:t>
            </w:r>
            <w:r w:rsidRPr="00592A71">
              <w:rPr>
                <w:b/>
              </w:rPr>
              <w:t xml:space="preserve">0 days.   </w:t>
            </w:r>
          </w:p>
        </w:tc>
      </w:tr>
    </w:tbl>
    <w:p w14:paraId="2BBB493D" w14:textId="77777777" w:rsidR="0069039A" w:rsidRDefault="0069039A"/>
    <w:p w14:paraId="4AF57DD4" w14:textId="77777777" w:rsidR="007428D3" w:rsidRDefault="007428D3"/>
    <w:sectPr w:rsidR="007428D3" w:rsidSect="00455622">
      <w:headerReference w:type="default" r:id="rId10"/>
      <w:footerReference w:type="default" r:id="rId11"/>
      <w:headerReference w:type="first" r:id="rId12"/>
      <w:footerReference w:type="first" r:id="rId13"/>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D9CB9" w14:textId="77777777" w:rsidR="008D4498" w:rsidRDefault="008D4498" w:rsidP="0069039A">
      <w:pPr>
        <w:spacing w:after="0" w:line="240" w:lineRule="auto"/>
      </w:pPr>
      <w:r>
        <w:separator/>
      </w:r>
    </w:p>
  </w:endnote>
  <w:endnote w:type="continuationSeparator" w:id="0">
    <w:p w14:paraId="708A73A3" w14:textId="77777777" w:rsidR="008D4498" w:rsidRDefault="008D4498" w:rsidP="0069039A">
      <w:pPr>
        <w:spacing w:after="0" w:line="240" w:lineRule="auto"/>
      </w:pPr>
      <w:r>
        <w:continuationSeparator/>
      </w:r>
    </w:p>
  </w:endnote>
  <w:endnote w:type="continuationNotice" w:id="1">
    <w:p w14:paraId="6262ADF3" w14:textId="77777777" w:rsidR="008D4498" w:rsidRDefault="008D44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07701" w14:textId="0FE2A533" w:rsidR="00592A71" w:rsidRPr="00592A71" w:rsidRDefault="00592A71" w:rsidP="00592A71">
    <w:pPr>
      <w:rPr>
        <w:i/>
      </w:rPr>
    </w:pPr>
    <w:r w:rsidRPr="00592A71">
      <w:rPr>
        <w:i/>
      </w:rPr>
      <w:t xml:space="preserve">Revised </w:t>
    </w:r>
    <w:r w:rsidR="00935392">
      <w:rPr>
        <w:i/>
      </w:rPr>
      <w:t>2/26/24</w:t>
    </w:r>
  </w:p>
  <w:p w14:paraId="7BD3C8C8" w14:textId="77777777" w:rsidR="00592A71" w:rsidRDefault="00592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60D26CE4" w14:paraId="1B49BE1B" w14:textId="77777777" w:rsidTr="00A031DF">
      <w:tc>
        <w:tcPr>
          <w:tcW w:w="4800" w:type="dxa"/>
        </w:tcPr>
        <w:p w14:paraId="1092C003" w14:textId="0120F916" w:rsidR="60D26CE4" w:rsidRDefault="60D26CE4" w:rsidP="00A031DF">
          <w:pPr>
            <w:pStyle w:val="Header"/>
            <w:ind w:left="-115"/>
          </w:pPr>
        </w:p>
      </w:tc>
      <w:tc>
        <w:tcPr>
          <w:tcW w:w="4800" w:type="dxa"/>
        </w:tcPr>
        <w:p w14:paraId="05E0D2FD" w14:textId="149D12D8" w:rsidR="60D26CE4" w:rsidRDefault="60D26CE4" w:rsidP="00A031DF">
          <w:pPr>
            <w:pStyle w:val="Header"/>
            <w:jc w:val="center"/>
          </w:pPr>
        </w:p>
      </w:tc>
      <w:tc>
        <w:tcPr>
          <w:tcW w:w="4800" w:type="dxa"/>
        </w:tcPr>
        <w:p w14:paraId="3B7D6E25" w14:textId="673B66C3" w:rsidR="60D26CE4" w:rsidRDefault="60D26CE4" w:rsidP="00A031DF">
          <w:pPr>
            <w:pStyle w:val="Header"/>
            <w:ind w:right="-115"/>
            <w:jc w:val="right"/>
          </w:pPr>
        </w:p>
      </w:tc>
    </w:tr>
  </w:tbl>
  <w:p w14:paraId="05684EB6" w14:textId="1D14C8E0" w:rsidR="60D26CE4" w:rsidRDefault="60D26CE4" w:rsidP="00A03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80A0F" w14:textId="77777777" w:rsidR="008D4498" w:rsidRDefault="008D4498" w:rsidP="0069039A">
      <w:pPr>
        <w:spacing w:after="0" w:line="240" w:lineRule="auto"/>
      </w:pPr>
      <w:r>
        <w:separator/>
      </w:r>
    </w:p>
  </w:footnote>
  <w:footnote w:type="continuationSeparator" w:id="0">
    <w:p w14:paraId="058D0C61" w14:textId="77777777" w:rsidR="008D4498" w:rsidRDefault="008D4498" w:rsidP="0069039A">
      <w:pPr>
        <w:spacing w:after="0" w:line="240" w:lineRule="auto"/>
      </w:pPr>
      <w:r>
        <w:continuationSeparator/>
      </w:r>
    </w:p>
  </w:footnote>
  <w:footnote w:type="continuationNotice" w:id="1">
    <w:p w14:paraId="72304366" w14:textId="77777777" w:rsidR="008D4498" w:rsidRDefault="008D44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18128" w14:textId="0478563D" w:rsidR="00592A71" w:rsidRDefault="00592A71" w:rsidP="00592A7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41960" w14:textId="3231B452" w:rsidR="00592A71" w:rsidRDefault="00592A71" w:rsidP="00592A71">
    <w:pPr>
      <w:pStyle w:val="Header"/>
    </w:pPr>
    <w:r>
      <w:rPr>
        <w:noProof/>
      </w:rPr>
      <w:drawing>
        <wp:inline distT="0" distB="0" distL="0" distR="0" wp14:anchorId="37DF8621" wp14:editId="3386B41D">
          <wp:extent cx="3308072" cy="7852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308072" cy="78523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9A"/>
    <w:rsid w:val="00006251"/>
    <w:rsid w:val="000253F2"/>
    <w:rsid w:val="0003555E"/>
    <w:rsid w:val="00041685"/>
    <w:rsid w:val="00044A73"/>
    <w:rsid w:val="0009533F"/>
    <w:rsid w:val="000A20FF"/>
    <w:rsid w:val="000B3635"/>
    <w:rsid w:val="000C2CB0"/>
    <w:rsid w:val="000C7629"/>
    <w:rsid w:val="000D708D"/>
    <w:rsid w:val="000E71D3"/>
    <w:rsid w:val="000F4641"/>
    <w:rsid w:val="0011770A"/>
    <w:rsid w:val="001269E9"/>
    <w:rsid w:val="00156A16"/>
    <w:rsid w:val="00190D0D"/>
    <w:rsid w:val="001A5F26"/>
    <w:rsid w:val="001B4AB0"/>
    <w:rsid w:val="00224343"/>
    <w:rsid w:val="00226B8B"/>
    <w:rsid w:val="002313E8"/>
    <w:rsid w:val="00243675"/>
    <w:rsid w:val="002731B4"/>
    <w:rsid w:val="00282C0E"/>
    <w:rsid w:val="002A0F08"/>
    <w:rsid w:val="002C06E1"/>
    <w:rsid w:val="00331001"/>
    <w:rsid w:val="003359CB"/>
    <w:rsid w:val="0034502E"/>
    <w:rsid w:val="00352ABF"/>
    <w:rsid w:val="003624F8"/>
    <w:rsid w:val="00387C99"/>
    <w:rsid w:val="00392DD6"/>
    <w:rsid w:val="003C65C4"/>
    <w:rsid w:val="003E11E3"/>
    <w:rsid w:val="00406A6F"/>
    <w:rsid w:val="004072C5"/>
    <w:rsid w:val="00421F07"/>
    <w:rsid w:val="00455622"/>
    <w:rsid w:val="004769A9"/>
    <w:rsid w:val="004C3D35"/>
    <w:rsid w:val="004C7995"/>
    <w:rsid w:val="004E234E"/>
    <w:rsid w:val="004E7F1E"/>
    <w:rsid w:val="004F47D1"/>
    <w:rsid w:val="004F5B55"/>
    <w:rsid w:val="005065D4"/>
    <w:rsid w:val="005138BE"/>
    <w:rsid w:val="00563EAF"/>
    <w:rsid w:val="00580C8E"/>
    <w:rsid w:val="005846B9"/>
    <w:rsid w:val="005849A5"/>
    <w:rsid w:val="00592A71"/>
    <w:rsid w:val="005C1343"/>
    <w:rsid w:val="0060432C"/>
    <w:rsid w:val="006418D2"/>
    <w:rsid w:val="00644A94"/>
    <w:rsid w:val="00651C51"/>
    <w:rsid w:val="0069039A"/>
    <w:rsid w:val="00691C87"/>
    <w:rsid w:val="006A571A"/>
    <w:rsid w:val="006C2546"/>
    <w:rsid w:val="006D21A0"/>
    <w:rsid w:val="006E0CCB"/>
    <w:rsid w:val="006E3874"/>
    <w:rsid w:val="006F272D"/>
    <w:rsid w:val="007428D3"/>
    <w:rsid w:val="00743A6B"/>
    <w:rsid w:val="00765B85"/>
    <w:rsid w:val="0077058B"/>
    <w:rsid w:val="00772D20"/>
    <w:rsid w:val="007814CC"/>
    <w:rsid w:val="007C0566"/>
    <w:rsid w:val="007E5164"/>
    <w:rsid w:val="007E5863"/>
    <w:rsid w:val="00830741"/>
    <w:rsid w:val="008421CB"/>
    <w:rsid w:val="00857021"/>
    <w:rsid w:val="0086301B"/>
    <w:rsid w:val="00870B8B"/>
    <w:rsid w:val="00872B77"/>
    <w:rsid w:val="008A1CCB"/>
    <w:rsid w:val="008D13A7"/>
    <w:rsid w:val="008D4498"/>
    <w:rsid w:val="008E55B4"/>
    <w:rsid w:val="008E5DE7"/>
    <w:rsid w:val="008F2107"/>
    <w:rsid w:val="00914BC8"/>
    <w:rsid w:val="00915957"/>
    <w:rsid w:val="00923AE1"/>
    <w:rsid w:val="00932DD4"/>
    <w:rsid w:val="00935392"/>
    <w:rsid w:val="009436FC"/>
    <w:rsid w:val="00947BF5"/>
    <w:rsid w:val="00947CE5"/>
    <w:rsid w:val="009B1EBE"/>
    <w:rsid w:val="009C616B"/>
    <w:rsid w:val="009C71B9"/>
    <w:rsid w:val="00A031DF"/>
    <w:rsid w:val="00A20E80"/>
    <w:rsid w:val="00A271E8"/>
    <w:rsid w:val="00A336EF"/>
    <w:rsid w:val="00A379E8"/>
    <w:rsid w:val="00A45F83"/>
    <w:rsid w:val="00A5048C"/>
    <w:rsid w:val="00A516DF"/>
    <w:rsid w:val="00A77D07"/>
    <w:rsid w:val="00AB1B3E"/>
    <w:rsid w:val="00AC015E"/>
    <w:rsid w:val="00AC154A"/>
    <w:rsid w:val="00AC42F1"/>
    <w:rsid w:val="00AD139F"/>
    <w:rsid w:val="00AE73C3"/>
    <w:rsid w:val="00AE7BB4"/>
    <w:rsid w:val="00B012C6"/>
    <w:rsid w:val="00B57D04"/>
    <w:rsid w:val="00B7059A"/>
    <w:rsid w:val="00B87B77"/>
    <w:rsid w:val="00B9207E"/>
    <w:rsid w:val="00BB7266"/>
    <w:rsid w:val="00BC66AB"/>
    <w:rsid w:val="00BD3E87"/>
    <w:rsid w:val="00BF2AE5"/>
    <w:rsid w:val="00C07091"/>
    <w:rsid w:val="00C11C8B"/>
    <w:rsid w:val="00C25BB6"/>
    <w:rsid w:val="00C3513A"/>
    <w:rsid w:val="00C42766"/>
    <w:rsid w:val="00C45D46"/>
    <w:rsid w:val="00C46FF3"/>
    <w:rsid w:val="00C479FA"/>
    <w:rsid w:val="00C84321"/>
    <w:rsid w:val="00C86ED7"/>
    <w:rsid w:val="00C92179"/>
    <w:rsid w:val="00CB3523"/>
    <w:rsid w:val="00CC0B03"/>
    <w:rsid w:val="00CC4474"/>
    <w:rsid w:val="00D32C38"/>
    <w:rsid w:val="00D4362E"/>
    <w:rsid w:val="00D51ACF"/>
    <w:rsid w:val="00D606BF"/>
    <w:rsid w:val="00D6215C"/>
    <w:rsid w:val="00D7281D"/>
    <w:rsid w:val="00D82706"/>
    <w:rsid w:val="00D83BBC"/>
    <w:rsid w:val="00D91BB8"/>
    <w:rsid w:val="00DD66A0"/>
    <w:rsid w:val="00E654FC"/>
    <w:rsid w:val="00E71DB8"/>
    <w:rsid w:val="00E7738E"/>
    <w:rsid w:val="00E84F3A"/>
    <w:rsid w:val="00E91444"/>
    <w:rsid w:val="00EA4525"/>
    <w:rsid w:val="00EB65A0"/>
    <w:rsid w:val="00EC271F"/>
    <w:rsid w:val="00EE65AE"/>
    <w:rsid w:val="00F05B21"/>
    <w:rsid w:val="00F218FF"/>
    <w:rsid w:val="00F330F9"/>
    <w:rsid w:val="00F67C47"/>
    <w:rsid w:val="00F738F1"/>
    <w:rsid w:val="00FC066F"/>
    <w:rsid w:val="00FD7D6F"/>
    <w:rsid w:val="00FF12DE"/>
    <w:rsid w:val="00FF5A56"/>
    <w:rsid w:val="60D26CE4"/>
    <w:rsid w:val="611F58B5"/>
    <w:rsid w:val="68458B33"/>
    <w:rsid w:val="7373C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74463"/>
  <w15:docId w15:val="{A3BF200D-DA72-4AF3-AEBF-FF353520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0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0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39A"/>
  </w:style>
  <w:style w:type="paragraph" w:styleId="Footer">
    <w:name w:val="footer"/>
    <w:basedOn w:val="Normal"/>
    <w:link w:val="FooterChar"/>
    <w:uiPriority w:val="99"/>
    <w:unhideWhenUsed/>
    <w:rsid w:val="00857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021"/>
  </w:style>
  <w:style w:type="paragraph" w:styleId="BalloonText">
    <w:name w:val="Balloon Text"/>
    <w:basedOn w:val="Normal"/>
    <w:link w:val="BalloonTextChar"/>
    <w:uiPriority w:val="99"/>
    <w:semiHidden/>
    <w:unhideWhenUsed/>
    <w:rsid w:val="00592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A71"/>
    <w:rPr>
      <w:rFonts w:ascii="Segoe UI" w:hAnsi="Segoe UI" w:cs="Segoe UI"/>
      <w:sz w:val="18"/>
      <w:szCs w:val="18"/>
    </w:rPr>
  </w:style>
  <w:style w:type="paragraph" w:styleId="Revision">
    <w:name w:val="Revision"/>
    <w:hidden/>
    <w:uiPriority w:val="99"/>
    <w:semiHidden/>
    <w:rsid w:val="007705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619218">
      <w:bodyDiv w:val="1"/>
      <w:marLeft w:val="0"/>
      <w:marRight w:val="0"/>
      <w:marTop w:val="0"/>
      <w:marBottom w:val="0"/>
      <w:divBdr>
        <w:top w:val="none" w:sz="0" w:space="0" w:color="auto"/>
        <w:left w:val="none" w:sz="0" w:space="0" w:color="auto"/>
        <w:bottom w:val="none" w:sz="0" w:space="0" w:color="auto"/>
        <w:right w:val="none" w:sz="0" w:space="0" w:color="auto"/>
      </w:divBdr>
    </w:div>
    <w:div w:id="1654942818">
      <w:bodyDiv w:val="1"/>
      <w:marLeft w:val="0"/>
      <w:marRight w:val="0"/>
      <w:marTop w:val="0"/>
      <w:marBottom w:val="0"/>
      <w:divBdr>
        <w:top w:val="none" w:sz="0" w:space="0" w:color="auto"/>
        <w:left w:val="none" w:sz="0" w:space="0" w:color="auto"/>
        <w:bottom w:val="none" w:sz="0" w:space="0" w:color="auto"/>
        <w:right w:val="none" w:sz="0" w:space="0" w:color="auto"/>
      </w:divBdr>
    </w:div>
    <w:div w:id="205955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03F87FC33D63438F4CD34B694E7A34" ma:contentTypeVersion="12" ma:contentTypeDescription="Create a new document." ma:contentTypeScope="" ma:versionID="f932e60ffb8bbfe79422abd6ba484ea0">
  <xsd:schema xmlns:xsd="http://www.w3.org/2001/XMLSchema" xmlns:xs="http://www.w3.org/2001/XMLSchema" xmlns:p="http://schemas.microsoft.com/office/2006/metadata/properties" xmlns:ns2="f763af14-e9a7-4366-b7b4-a393fcd6f8c8" xmlns:ns3="72b75bce-b25d-43f3-97c6-75a8025ae994" targetNamespace="http://schemas.microsoft.com/office/2006/metadata/properties" ma:root="true" ma:fieldsID="c4c20e7b613ef4eac4475a500b971b06" ns2:_="" ns3:_="">
    <xsd:import namespace="f763af14-e9a7-4366-b7b4-a393fcd6f8c8"/>
    <xsd:import namespace="72b75bce-b25d-43f3-97c6-75a8025ae9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3af14-e9a7-4366-b7b4-a393fcd6f8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5f4c02-01be-4dd0-8be2-237d3218fd6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b75bce-b25d-43f3-97c6-75a8025ae9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27eda-ed5c-4bff-9fc1-d1fd754ca407}" ma:internalName="TaxCatchAll" ma:showField="CatchAllData" ma:web="72b75bce-b25d-43f3-97c6-75a8025ae99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b75bce-b25d-43f3-97c6-75a8025ae994" xsi:nil="true"/>
    <lcf76f155ced4ddcb4097134ff3c332f xmlns="f763af14-e9a7-4366-b7b4-a393fcd6f8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CEDECB-B5DB-4E3A-8A5D-B08A785C15AF}">
  <ds:schemaRefs>
    <ds:schemaRef ds:uri="http://schemas.openxmlformats.org/officeDocument/2006/bibliography"/>
  </ds:schemaRefs>
</ds:datastoreItem>
</file>

<file path=customXml/itemProps2.xml><?xml version="1.0" encoding="utf-8"?>
<ds:datastoreItem xmlns:ds="http://schemas.openxmlformats.org/officeDocument/2006/customXml" ds:itemID="{387FF198-4189-484D-8DA1-41253DEB8A89}">
  <ds:schemaRefs>
    <ds:schemaRef ds:uri="http://schemas.microsoft.com/sharepoint/v3/contenttype/forms"/>
  </ds:schemaRefs>
</ds:datastoreItem>
</file>

<file path=customXml/itemProps3.xml><?xml version="1.0" encoding="utf-8"?>
<ds:datastoreItem xmlns:ds="http://schemas.openxmlformats.org/officeDocument/2006/customXml" ds:itemID="{3997CACA-82A0-40E5-A82A-22F8F4C1C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3af14-e9a7-4366-b7b4-a393fcd6f8c8"/>
    <ds:schemaRef ds:uri="72b75bce-b25d-43f3-97c6-75a8025ae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F8A5C-4069-4207-97E8-630AFF6F0D06}">
  <ds:schemaRefs>
    <ds:schemaRef ds:uri="http://schemas.microsoft.com/office/2006/metadata/properties"/>
    <ds:schemaRef ds:uri="http://schemas.microsoft.com/office/infopath/2007/PartnerControls"/>
    <ds:schemaRef ds:uri="72b75bce-b25d-43f3-97c6-75a8025ae994"/>
    <ds:schemaRef ds:uri="f763af14-e9a7-4366-b7b4-a393fcd6f8c8"/>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Buitendorp</dc:creator>
  <cp:keywords/>
  <cp:lastModifiedBy>Greg Opsommer</cp:lastModifiedBy>
  <cp:revision>4</cp:revision>
  <cp:lastPrinted>2019-07-01T16:54:00Z</cp:lastPrinted>
  <dcterms:created xsi:type="dcterms:W3CDTF">2024-09-11T16:43:00Z</dcterms:created>
  <dcterms:modified xsi:type="dcterms:W3CDTF">2024-09-11T16:53:00Z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0x0101009403F87FC33D63438F4CD34B694E7A34</vt:lpwstr>
  </property>
  <property fmtid="{D5CDD505-2E9C-101B-9397-08002B2CF9AE}" pid="3" name="Order">
    <vt:r8>26899200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